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39" w:rsidRDefault="004C7339" w:rsidP="004C7339">
      <w:pPr>
        <w:jc w:val="center"/>
        <w:rPr>
          <w:rFonts w:ascii="Arial" w:hAnsi="Arial" w:cs="Arial"/>
          <w:b/>
        </w:rPr>
      </w:pPr>
      <w:smartTag w:uri="urn:schemas-microsoft-com:office:smarttags" w:element="place">
        <w:smartTag w:uri="urn:schemas-microsoft-com:office:smarttags" w:element="PlaceName">
          <w:r w:rsidRPr="004C7339">
            <w:rPr>
              <w:rFonts w:ascii="Arial" w:hAnsi="Arial" w:cs="Arial"/>
              <w:b/>
            </w:rPr>
            <w:t>Purdue</w:t>
          </w:r>
        </w:smartTag>
        <w:r w:rsidRPr="004C7339">
          <w:rPr>
            <w:rFonts w:ascii="Arial" w:hAnsi="Arial" w:cs="Arial"/>
            <w:b/>
          </w:rPr>
          <w:t xml:space="preserve"> </w:t>
        </w:r>
        <w:smartTag w:uri="urn:schemas-microsoft-com:office:smarttags" w:element="PlaceType">
          <w:r w:rsidRPr="004C7339">
            <w:rPr>
              <w:rFonts w:ascii="Arial" w:hAnsi="Arial" w:cs="Arial"/>
              <w:b/>
            </w:rPr>
            <w:t>University</w:t>
          </w:r>
        </w:smartTag>
      </w:smartTag>
    </w:p>
    <w:p w:rsidR="004C7339" w:rsidRP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  <w:r w:rsidRPr="004C7339">
        <w:rPr>
          <w:rFonts w:ascii="Arial" w:hAnsi="Arial" w:cs="Arial"/>
          <w:b/>
        </w:rPr>
        <w:t>Computational Finance Program</w:t>
      </w: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4C7339" w:rsidRDefault="00B62C9D" w:rsidP="004C73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Stat 541</w:t>
      </w:r>
      <w:r w:rsidR="004C7339">
        <w:rPr>
          <w:rFonts w:ascii="Arial" w:hAnsi="Arial" w:cs="Arial"/>
          <w:b/>
        </w:rPr>
        <w:t xml:space="preserve"> Project</w:t>
      </w: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</w:p>
    <w:p w:rsidR="004C7339" w:rsidRDefault="004C7339" w:rsidP="004C73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Implementing a computationally efficient method for the pricing</w:t>
      </w:r>
    </w:p>
    <w:p w:rsidR="004C7339" w:rsidRDefault="004C7339" w:rsidP="004C73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 European and American contingent claims</w:t>
      </w: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2E4301" w:rsidRPr="002E4301" w:rsidRDefault="00F73C38" w:rsidP="004C7339">
      <w:pPr>
        <w:jc w:val="center"/>
        <w:rPr>
          <w:rFonts w:ascii="Arial" w:hAnsi="Arial" w:cs="Arial"/>
          <w:b/>
          <w:i/>
        </w:rPr>
      </w:pPr>
      <w:r w:rsidRPr="002E4301">
        <w:rPr>
          <w:rFonts w:ascii="Arial" w:hAnsi="Arial" w:cs="Arial"/>
          <w:b/>
          <w:i/>
        </w:rPr>
        <w:t>by Nik Tuzov</w:t>
      </w:r>
    </w:p>
    <w:p w:rsidR="002E4301" w:rsidRPr="002E4301" w:rsidRDefault="002E4301" w:rsidP="004C7339">
      <w:pPr>
        <w:jc w:val="center"/>
        <w:rPr>
          <w:rFonts w:ascii="Arial" w:hAnsi="Arial" w:cs="Arial"/>
          <w:b/>
          <w:i/>
        </w:rPr>
      </w:pPr>
    </w:p>
    <w:p w:rsidR="00F73C38" w:rsidRPr="00652049" w:rsidRDefault="007C48B7" w:rsidP="004C7339">
      <w:pPr>
        <w:jc w:val="center"/>
        <w:rPr>
          <w:rFonts w:ascii="Arial" w:hAnsi="Arial" w:cs="Arial"/>
          <w:b/>
          <w:sz w:val="22"/>
        </w:rPr>
      </w:pPr>
      <w:hyperlink r:id="rId7" w:history="1">
        <w:r w:rsidR="00652049" w:rsidRPr="00652049">
          <w:rPr>
            <w:rStyle w:val="Hyperlink"/>
            <w:rFonts w:ascii="Arial" w:hAnsi="Arial" w:cs="Arial"/>
            <w:b/>
            <w:sz w:val="22"/>
          </w:rPr>
          <w:t>www.ntuzov.com</w:t>
        </w:r>
      </w:hyperlink>
    </w:p>
    <w:p w:rsidR="00652049" w:rsidRDefault="00652049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F73C38" w:rsidRDefault="00F73C38" w:rsidP="004C7339">
      <w:pPr>
        <w:jc w:val="center"/>
        <w:rPr>
          <w:rFonts w:ascii="Arial" w:hAnsi="Arial" w:cs="Arial"/>
          <w:b/>
        </w:rPr>
      </w:pPr>
    </w:p>
    <w:p w:rsidR="00C72657" w:rsidRDefault="00C72657" w:rsidP="004C7339">
      <w:pPr>
        <w:jc w:val="center"/>
        <w:rPr>
          <w:rFonts w:ascii="Arial" w:hAnsi="Arial" w:cs="Arial"/>
          <w:b/>
        </w:rPr>
      </w:pPr>
    </w:p>
    <w:p w:rsidR="00C72657" w:rsidRDefault="00C72657" w:rsidP="004C7339">
      <w:pPr>
        <w:jc w:val="center"/>
        <w:rPr>
          <w:rFonts w:ascii="Arial" w:hAnsi="Arial" w:cs="Arial"/>
          <w:b/>
        </w:rPr>
      </w:pPr>
    </w:p>
    <w:p w:rsidR="00C72657" w:rsidRDefault="00F73C38" w:rsidP="004C73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Spring 2006 </w:t>
      </w:r>
    </w:p>
    <w:p w:rsidR="00C72657" w:rsidRDefault="00C72657" w:rsidP="004C7339">
      <w:pPr>
        <w:jc w:val="center"/>
        <w:rPr>
          <w:rFonts w:ascii="Arial" w:hAnsi="Arial" w:cs="Arial"/>
          <w:b/>
        </w:rPr>
      </w:pPr>
    </w:p>
    <w:p w:rsidR="00C72657" w:rsidRDefault="00C72657" w:rsidP="004C7339">
      <w:pPr>
        <w:jc w:val="center"/>
        <w:rPr>
          <w:rFonts w:ascii="Arial" w:hAnsi="Arial" w:cs="Arial"/>
          <w:b/>
        </w:rPr>
      </w:pPr>
    </w:p>
    <w:p w:rsidR="00F73C38" w:rsidRDefault="00F73C38" w:rsidP="00F73C38">
      <w:pPr>
        <w:numPr>
          <w:ilvl w:val="0"/>
          <w:numId w:val="2"/>
        </w:numPr>
        <w:rPr>
          <w:rFonts w:ascii="Arial" w:hAnsi="Arial" w:cs="Arial"/>
          <w:b/>
        </w:rPr>
      </w:pPr>
      <w:bookmarkStart w:id="0" w:name="_Ref158402819"/>
      <w:r>
        <w:rPr>
          <w:rFonts w:ascii="Arial" w:hAnsi="Arial" w:cs="Arial"/>
          <w:b/>
        </w:rPr>
        <w:t>Problem statement</w:t>
      </w:r>
      <w:bookmarkEnd w:id="0"/>
    </w:p>
    <w:p w:rsidR="00F73C38" w:rsidRDefault="00F73C38" w:rsidP="00F73C38">
      <w:pPr>
        <w:ind w:left="360"/>
        <w:rPr>
          <w:rFonts w:ascii="Arial" w:hAnsi="Arial" w:cs="Arial"/>
          <w:b/>
        </w:rPr>
      </w:pPr>
    </w:p>
    <w:p w:rsidR="00F73C38" w:rsidRDefault="00F73C38" w:rsidP="00F73C38">
      <w:pPr>
        <w:ind w:left="360"/>
        <w:rPr>
          <w:rFonts w:ascii="Arial" w:hAnsi="Arial" w:cs="Arial"/>
          <w:b/>
        </w:rPr>
      </w:pPr>
    </w:p>
    <w:p w:rsidR="004E5CDB" w:rsidRDefault="00F73C38" w:rsidP="00F73C38">
      <w:pPr>
        <w:ind w:left="360"/>
      </w:pPr>
      <w:r>
        <w:t xml:space="preserve">The goal of this project is to implement </w:t>
      </w:r>
      <w:r w:rsidR="00D02188">
        <w:t>the</w:t>
      </w:r>
      <w:r w:rsidR="0065793A">
        <w:t xml:space="preserve"> algorithms for the pricing of</w:t>
      </w:r>
      <w:r w:rsidR="00C03F57">
        <w:t xml:space="preserve"> simple</w:t>
      </w:r>
      <w:r w:rsidR="00D02188">
        <w:t xml:space="preserve"> </w:t>
      </w:r>
      <w:r w:rsidR="0065793A">
        <w:t xml:space="preserve">European and </w:t>
      </w:r>
      <w:r w:rsidR="00D02188">
        <w:t xml:space="preserve">American </w:t>
      </w:r>
      <w:r w:rsidR="00C03F57">
        <w:t>contingent claims</w:t>
      </w:r>
      <w:r w:rsidR="00D02188">
        <w:t xml:space="preserve"> described in Chapter 5 of </w:t>
      </w:r>
      <w:hyperlink w:anchor="ref" w:history="1">
        <w:r w:rsidR="00BB58F5" w:rsidRPr="00BB58F5">
          <w:rPr>
            <w:rStyle w:val="Hyperlink"/>
          </w:rPr>
          <w:t>[1]</w:t>
        </w:r>
      </w:hyperlink>
      <w:r w:rsidR="00BB58F5">
        <w:t xml:space="preserve"> </w:t>
      </w:r>
      <w:r w:rsidR="00097AF5">
        <w:t>(the page ref</w:t>
      </w:r>
      <w:r w:rsidR="00652049">
        <w:t>erences below refer to that source</w:t>
      </w:r>
      <w:r w:rsidR="00097AF5">
        <w:t>)</w:t>
      </w:r>
      <w:r w:rsidR="00D02188">
        <w:t xml:space="preserve">. </w:t>
      </w:r>
      <w:r w:rsidR="00C03F57">
        <w:t xml:space="preserve">The word “simple” means that, if exercised at time t, the claim pays off a value of </w:t>
      </w:r>
      <w:r w:rsidR="00C03F57" w:rsidRPr="00C03F57">
        <w:rPr>
          <w:position w:val="-12"/>
        </w:rPr>
        <w:object w:dxaOrig="6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8pt" o:ole="">
            <v:imagedata r:id="rId8" o:title=""/>
          </v:shape>
          <o:OLEObject Type="Embed" ProgID="Equation.DSMT4" ShapeID="_x0000_i1025" DrawAspect="Content" ObjectID="_1341887463" r:id="rId9"/>
        </w:object>
      </w:r>
      <w:r w:rsidR="00C03F57">
        <w:t xml:space="preserve">. </w:t>
      </w:r>
    </w:p>
    <w:p w:rsidR="004E5CDB" w:rsidRDefault="004E5CDB" w:rsidP="00F73C38">
      <w:pPr>
        <w:ind w:left="360"/>
      </w:pPr>
    </w:p>
    <w:p w:rsidR="00F73C38" w:rsidRDefault="00D02188" w:rsidP="00F73C38">
      <w:pPr>
        <w:ind w:left="360"/>
      </w:pPr>
      <w:r>
        <w:t xml:space="preserve">The underlying </w:t>
      </w:r>
      <w:r w:rsidRPr="00D02188">
        <w:rPr>
          <w:position w:val="-12"/>
        </w:rPr>
        <w:object w:dxaOrig="260" w:dyaOrig="360">
          <v:shape id="_x0000_i1026" type="#_x0000_t75" style="width:12.75pt;height:18pt" o:ole="">
            <v:imagedata r:id="rId10" o:title=""/>
          </v:shape>
          <o:OLEObject Type="Embed" ProgID="Equation.DSMT4" ShapeID="_x0000_i1026" DrawAspect="Content" ObjectID="_1341887464" r:id="rId11"/>
        </w:object>
      </w:r>
      <w:r>
        <w:t xml:space="preserve"> is assumed to follow a standard GBM with constant drift and diffusion,</w:t>
      </w:r>
      <w:r w:rsidR="0020142E">
        <w:t xml:space="preserve"> </w:t>
      </w:r>
      <w:r w:rsidRPr="00D02188">
        <w:rPr>
          <w:position w:val="-10"/>
        </w:rPr>
        <w:object w:dxaOrig="859" w:dyaOrig="320">
          <v:shape id="_x0000_i1027" type="#_x0000_t75" style="width:42.75pt;height:15.75pt" o:ole="">
            <v:imagedata r:id="rId12" o:title=""/>
          </v:shape>
          <o:OLEObject Type="Embed" ProgID="Equation.DSMT4" ShapeID="_x0000_i1027" DrawAspect="Content" ObjectID="_1341887465" r:id="rId13"/>
        </w:object>
      </w:r>
      <w:r>
        <w:t>, where T is the time of maturity. The algorithm should be implemented for a general payoff function</w:t>
      </w:r>
      <w:r w:rsidR="0065793A">
        <w:t xml:space="preserve"> </w:t>
      </w:r>
      <w:r w:rsidR="0065793A" w:rsidRPr="0065793A">
        <w:rPr>
          <w:i/>
        </w:rPr>
        <w:t>f</w:t>
      </w:r>
      <w:r w:rsidR="00C03F57">
        <w:t xml:space="preserve"> and for both American and European exercise styles.</w:t>
      </w:r>
    </w:p>
    <w:p w:rsidR="0020142E" w:rsidRDefault="0020142E" w:rsidP="00F73C38">
      <w:pPr>
        <w:ind w:left="360"/>
      </w:pPr>
    </w:p>
    <w:p w:rsidR="0020142E" w:rsidRDefault="0020142E" w:rsidP="00F73C38">
      <w:pPr>
        <w:ind w:left="360"/>
      </w:pPr>
      <w:r>
        <w:t xml:space="preserve">The solution is obtained by localization (restricting the state space) and applying the finite difference method </w:t>
      </w:r>
      <w:r w:rsidR="00097AF5">
        <w:t>to</w:t>
      </w:r>
      <w:r>
        <w:t xml:space="preserve"> the original parabolic problem. To that end, the goal is to select reasonable localization bounds </w:t>
      </w:r>
      <w:r w:rsidR="00097AF5">
        <w:t xml:space="preserve">for the space and </w:t>
      </w:r>
      <w:r w:rsidR="0083376A">
        <w:t xml:space="preserve">to </w:t>
      </w:r>
      <w:r w:rsidR="00097AF5">
        <w:t>show how the space-time grid parameters influence the convergence and pricing error. Also, the algorithm should be implemented with a maximal computational efficiency.</w:t>
      </w:r>
    </w:p>
    <w:p w:rsidR="00097AF5" w:rsidRDefault="00097AF5" w:rsidP="00F73C38">
      <w:pPr>
        <w:ind w:left="360"/>
      </w:pPr>
    </w:p>
    <w:p w:rsidR="00097AF5" w:rsidRDefault="00097AF5" w:rsidP="00F73C38">
      <w:pPr>
        <w:ind w:left="360"/>
      </w:pPr>
    </w:p>
    <w:p w:rsidR="00097AF5" w:rsidRDefault="00097AF5" w:rsidP="00F73C38">
      <w:pPr>
        <w:ind w:left="360"/>
      </w:pPr>
    </w:p>
    <w:p w:rsidR="00097AF5" w:rsidRDefault="00097AF5" w:rsidP="00097AF5">
      <w:pPr>
        <w:numPr>
          <w:ilvl w:val="0"/>
          <w:numId w:val="2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Localization and space grid</w:t>
      </w:r>
    </w:p>
    <w:p w:rsidR="00097AF5" w:rsidRDefault="00097AF5" w:rsidP="00097AF5">
      <w:pPr>
        <w:ind w:left="360"/>
        <w:rPr>
          <w:rFonts w:ascii="Arial" w:hAnsi="Arial" w:cs="Arial"/>
          <w:b/>
        </w:rPr>
      </w:pPr>
    </w:p>
    <w:p w:rsidR="00097AF5" w:rsidRDefault="00097AF5" w:rsidP="00097AF5">
      <w:pPr>
        <w:ind w:left="360"/>
        <w:rPr>
          <w:rFonts w:ascii="Arial" w:hAnsi="Arial" w:cs="Arial"/>
          <w:b/>
        </w:rPr>
      </w:pPr>
    </w:p>
    <w:p w:rsidR="00097AF5" w:rsidRDefault="00097AF5" w:rsidP="00097AF5">
      <w:pPr>
        <w:ind w:left="360"/>
      </w:pPr>
      <w:r>
        <w:t>As shown on page 102, in the case of simple contingent claim, we have to solve the parabolic problem:</w:t>
      </w:r>
    </w:p>
    <w:p w:rsidR="00097AF5" w:rsidRDefault="00097AF5" w:rsidP="00097AF5">
      <w:pPr>
        <w:ind w:left="360"/>
      </w:pPr>
    </w:p>
    <w:p w:rsidR="00097AF5" w:rsidRDefault="00177163" w:rsidP="00097AF5">
      <w:pPr>
        <w:ind w:left="360"/>
        <w:jc w:val="center"/>
      </w:pPr>
      <w:r w:rsidRPr="00097AF5">
        <w:rPr>
          <w:position w:val="-44"/>
        </w:rPr>
        <w:object w:dxaOrig="3140" w:dyaOrig="999">
          <v:shape id="_x0000_i1028" type="#_x0000_t75" style="width:180pt;height:57.75pt" o:ole="">
            <v:imagedata r:id="rId14" o:title=""/>
          </v:shape>
          <o:OLEObject Type="Embed" ProgID="Equation.DSMT4" ShapeID="_x0000_i1028" DrawAspect="Content" ObjectID="_1341887466" r:id="rId15"/>
        </w:object>
      </w:r>
    </w:p>
    <w:p w:rsidR="00177163" w:rsidRPr="00097AF5" w:rsidRDefault="00177163" w:rsidP="00097AF5">
      <w:pPr>
        <w:ind w:left="360"/>
        <w:jc w:val="center"/>
      </w:pPr>
    </w:p>
    <w:p w:rsidR="00097AF5" w:rsidRDefault="00177163" w:rsidP="00097AF5">
      <w:pPr>
        <w:ind w:left="360"/>
      </w:pPr>
      <w:r>
        <w:t xml:space="preserve">where </w:t>
      </w:r>
      <w:r w:rsidRPr="00177163">
        <w:rPr>
          <w:i/>
        </w:rPr>
        <w:t>u(t, x)</w:t>
      </w:r>
      <w:r>
        <w:t xml:space="preserve"> is a pricing function,  </w:t>
      </w:r>
      <w:r w:rsidRPr="00177163">
        <w:rPr>
          <w:i/>
        </w:rPr>
        <w:t>f</w:t>
      </w:r>
      <w:r>
        <w:t xml:space="preserve"> is a payoff function, </w:t>
      </w:r>
      <w:r w:rsidRPr="00177163">
        <w:rPr>
          <w:i/>
        </w:rPr>
        <w:t xml:space="preserve">x </w:t>
      </w:r>
      <w:r>
        <w:t>– a state variable (log of</w:t>
      </w:r>
      <w:r w:rsidR="00652049">
        <w:t xml:space="preserve"> the</w:t>
      </w:r>
      <w:r>
        <w:t xml:space="preserve"> underlying price), </w:t>
      </w:r>
      <w:r w:rsidRPr="00177163">
        <w:rPr>
          <w:position w:val="-4"/>
        </w:rPr>
        <w:object w:dxaOrig="240" w:dyaOrig="300">
          <v:shape id="_x0000_i1029" type="#_x0000_t75" style="width:12pt;height:15pt" o:ole="">
            <v:imagedata r:id="rId16" o:title=""/>
          </v:shape>
          <o:OLEObject Type="Embed" ProgID="Equation.DSMT4" ShapeID="_x0000_i1029" DrawAspect="Content" ObjectID="_1341887467" r:id="rId17"/>
        </w:object>
      </w:r>
      <w:r>
        <w:t xml:space="preserve">- differential operator. </w:t>
      </w:r>
    </w:p>
    <w:p w:rsidR="00177163" w:rsidRDefault="00177163" w:rsidP="00097AF5">
      <w:pPr>
        <w:ind w:left="360"/>
      </w:pPr>
    </w:p>
    <w:p w:rsidR="00202AD9" w:rsidRDefault="00177163" w:rsidP="00202AD9">
      <w:pPr>
        <w:ind w:left="360"/>
      </w:pPr>
      <w:r>
        <w:t xml:space="preserve">The first step is to localize the space by introducing a constant L: </w:t>
      </w:r>
      <w:r w:rsidRPr="00177163">
        <w:rPr>
          <w:position w:val="-10"/>
        </w:rPr>
        <w:object w:dxaOrig="1080" w:dyaOrig="320">
          <v:shape id="_x0000_i1030" type="#_x0000_t75" style="width:54pt;height:15.75pt" o:ole="">
            <v:imagedata r:id="rId18" o:title=""/>
          </v:shape>
          <o:OLEObject Type="Embed" ProgID="Equation.DSMT4" ShapeID="_x0000_i1030" DrawAspect="Content" ObjectID="_1341887468" r:id="rId19"/>
        </w:object>
      </w:r>
      <w:r>
        <w:t xml:space="preserve">. </w:t>
      </w:r>
      <w:r w:rsidR="00202AD9">
        <w:t>The formula</w:t>
      </w:r>
      <w:r>
        <w:t xml:space="preserve"> </w:t>
      </w:r>
      <w:r w:rsidR="00202AD9">
        <w:t xml:space="preserve"> </w:t>
      </w:r>
      <w:r>
        <w:t xml:space="preserve"> (5.11) on</w:t>
      </w:r>
      <w:r w:rsidR="00202AD9">
        <w:t xml:space="preserve"> </w:t>
      </w:r>
    </w:p>
    <w:p w:rsidR="00097AF5" w:rsidRPr="00202AD9" w:rsidRDefault="00177163" w:rsidP="00F73C38">
      <w:pPr>
        <w:ind w:left="360"/>
      </w:pPr>
      <w:r>
        <w:t>p 105 gives us</w:t>
      </w:r>
      <w:r w:rsidR="00202AD9">
        <w:t xml:space="preserve"> </w:t>
      </w:r>
      <w:r w:rsidR="0083376A">
        <w:t>a clue, but i</w:t>
      </w:r>
      <w:r>
        <w:t xml:space="preserve">t requires that the payoff </w:t>
      </w:r>
      <w:r w:rsidRPr="00177163">
        <w:rPr>
          <w:i/>
        </w:rPr>
        <w:t>f</w:t>
      </w:r>
      <w:r w:rsidR="0083376A">
        <w:rPr>
          <w:i/>
        </w:rPr>
        <w:t xml:space="preserve">(.) </w:t>
      </w:r>
      <w:r>
        <w:t xml:space="preserve">be </w:t>
      </w:r>
      <w:r w:rsidR="00202AD9">
        <w:t>b</w:t>
      </w:r>
      <w:r>
        <w:t>ounded by a constant</w:t>
      </w:r>
      <w:r w:rsidR="0083376A">
        <w:t>,</w:t>
      </w:r>
      <w:r>
        <w:t xml:space="preserve"> which </w:t>
      </w:r>
      <w:r w:rsidR="0083376A">
        <w:t>is not always true</w:t>
      </w:r>
      <w:r w:rsidR="00202AD9">
        <w:t xml:space="preserve">. </w:t>
      </w:r>
      <w:r w:rsidR="0083376A">
        <w:t>A simpler</w:t>
      </w:r>
      <w:r w:rsidR="00202AD9">
        <w:t xml:space="preserve"> way to chose L which doesn’t depend on </w:t>
      </w:r>
      <w:r w:rsidR="00202AD9" w:rsidRPr="00202AD9">
        <w:rPr>
          <w:i/>
        </w:rPr>
        <w:t>f</w:t>
      </w:r>
      <w:r w:rsidR="00202AD9">
        <w:rPr>
          <w:i/>
        </w:rPr>
        <w:t xml:space="preserve"> </w:t>
      </w:r>
      <w:r w:rsidR="0083376A">
        <w:rPr>
          <w:i/>
        </w:rPr>
        <w:t xml:space="preserve"> </w:t>
      </w:r>
      <w:r w:rsidR="00202AD9">
        <w:t>is to say that for practical purposes, we may think that a normal random variable is within four standard deviations of its mean. Therefore, we may say that</w:t>
      </w:r>
    </w:p>
    <w:p w:rsidR="00097AF5" w:rsidRDefault="00097AF5" w:rsidP="00F73C38">
      <w:pPr>
        <w:ind w:left="360"/>
      </w:pPr>
    </w:p>
    <w:p w:rsidR="00097AF5" w:rsidRDefault="00202AD9" w:rsidP="00202AD9">
      <w:pPr>
        <w:ind w:left="360"/>
        <w:jc w:val="center"/>
      </w:pPr>
      <w:r w:rsidRPr="00FB76FC">
        <w:rPr>
          <w:position w:val="-12"/>
        </w:rPr>
        <w:object w:dxaOrig="3860" w:dyaOrig="400">
          <v:shape id="_x0000_i1031" type="#_x0000_t75" style="width:297pt;height:24.75pt" o:ole="">
            <v:imagedata r:id="rId20" o:title=""/>
          </v:shape>
          <o:OLEObject Type="Embed" ProgID="Equation.DSMT4" ShapeID="_x0000_i1031" DrawAspect="Content" ObjectID="_1341887469" r:id="rId21"/>
        </w:object>
      </w:r>
    </w:p>
    <w:p w:rsidR="00202AD9" w:rsidRDefault="00202AD9" w:rsidP="00202AD9">
      <w:pPr>
        <w:ind w:left="360"/>
        <w:jc w:val="center"/>
      </w:pPr>
    </w:p>
    <w:p w:rsidR="0083376A" w:rsidRDefault="0083376A" w:rsidP="004E5CDB"/>
    <w:p w:rsidR="00202AD9" w:rsidRDefault="00202AD9" w:rsidP="0083376A">
      <w:pPr>
        <w:ind w:firstLine="360"/>
      </w:pPr>
      <w:r>
        <w:t>Fr</w:t>
      </w:r>
      <w:r w:rsidR="00801247">
        <w:t xml:space="preserve">om which we can find a reasonable </w:t>
      </w:r>
      <w:r>
        <w:t xml:space="preserve">L as: </w:t>
      </w:r>
    </w:p>
    <w:p w:rsidR="00202AD9" w:rsidRDefault="00202AD9" w:rsidP="00202AD9">
      <w:pPr>
        <w:ind w:left="720"/>
      </w:pPr>
    </w:p>
    <w:p w:rsidR="00202AD9" w:rsidRDefault="00202AD9" w:rsidP="00202AD9">
      <w:pPr>
        <w:ind w:left="720"/>
      </w:pPr>
      <w:r w:rsidRPr="00202AD9">
        <w:rPr>
          <w:position w:val="-12"/>
        </w:rPr>
        <w:object w:dxaOrig="7440" w:dyaOrig="400">
          <v:shape id="_x0000_i1032" type="#_x0000_t75" style="width:477pt;height:25.5pt" o:ole="">
            <v:imagedata r:id="rId22" o:title=""/>
          </v:shape>
          <o:OLEObject Type="Embed" ProgID="Equation.DSMT4" ShapeID="_x0000_i1032" DrawAspect="Content" ObjectID="_1341887470" r:id="rId23"/>
        </w:object>
      </w:r>
    </w:p>
    <w:p w:rsidR="004E5CDB" w:rsidRDefault="0083376A" w:rsidP="004E5CDB">
      <w:r>
        <w:lastRenderedPageBreak/>
        <w:t>The number of nodes</w:t>
      </w:r>
      <w:r w:rsidR="00801247">
        <w:t xml:space="preserve"> on the space interval [-L, L]</w:t>
      </w:r>
      <w:r>
        <w:t xml:space="preserve"> is equal to (N + 2), and the number of nodes on the time axis is equal to (M + 1).</w:t>
      </w:r>
      <w:r w:rsidR="00801247">
        <w:t xml:space="preserve"> </w:t>
      </w:r>
      <w:r>
        <w:t>T</w:t>
      </w:r>
      <w:r w:rsidR="00C03F57">
        <w:t xml:space="preserve">he implemented pricing function </w:t>
      </w:r>
      <w:r w:rsidR="00C03F57" w:rsidRPr="00C03F57">
        <w:rPr>
          <w:i/>
        </w:rPr>
        <w:t>claim</w:t>
      </w:r>
      <w:r w:rsidR="00C03F57">
        <w:rPr>
          <w:i/>
        </w:rPr>
        <w:t xml:space="preserve"> </w:t>
      </w:r>
      <w:r w:rsidR="00C03F57">
        <w:t>still allows the user to specify his own values for L, M, N (see below).</w:t>
      </w:r>
    </w:p>
    <w:p w:rsidR="00801247" w:rsidRDefault="00801247"/>
    <w:p w:rsidR="004C7339" w:rsidRDefault="00801247">
      <w:pPr>
        <w:rPr>
          <w:rFonts w:ascii="Arial" w:hAnsi="Arial" w:cs="Arial"/>
          <w:b/>
        </w:rPr>
      </w:pPr>
      <w:r w:rsidRPr="003C2340">
        <w:rPr>
          <w:rFonts w:ascii="Arial" w:hAnsi="Arial" w:cs="Arial"/>
          <w:b/>
        </w:rPr>
        <w:t xml:space="preserve"> </w:t>
      </w:r>
      <w:r w:rsidR="003C2340" w:rsidRPr="003C2340">
        <w:rPr>
          <w:rFonts w:ascii="Arial" w:hAnsi="Arial" w:cs="Arial"/>
          <w:b/>
        </w:rPr>
        <w:t>3. Computational efficiency</w:t>
      </w:r>
    </w:p>
    <w:p w:rsidR="003C2340" w:rsidRPr="003C2340" w:rsidRDefault="003C2340">
      <w:pPr>
        <w:rPr>
          <w:rFonts w:ascii="Arial" w:hAnsi="Arial" w:cs="Arial"/>
          <w:b/>
        </w:rPr>
      </w:pPr>
    </w:p>
    <w:p w:rsidR="004C7339" w:rsidRDefault="003C2340">
      <w:r w:rsidRPr="003C2340">
        <w:t xml:space="preserve">The implementation </w:t>
      </w:r>
      <w:r>
        <w:t xml:space="preserve">of </w:t>
      </w:r>
      <w:r w:rsidR="00C03F57">
        <w:t>finite difference method is fairly</w:t>
      </w:r>
      <w:r>
        <w:t xml:space="preserve"> straightforward and described in Ch 5. It works fine for small values of  N and M. However, if we try to set N = 10000 or more, MatLab runs out of memory because it has to handle a couple of matrices whose size is N by N. At the same time, these</w:t>
      </w:r>
      <w:r w:rsidR="003A7A78">
        <w:t xml:space="preserve"> matrices are very sparse (</w:t>
      </w:r>
      <w:r>
        <w:t xml:space="preserve">see p 107), so I decided to re-write the computation formulas so that they don’t involve any N*N matrices. </w:t>
      </w:r>
      <w:r w:rsidR="004409FF">
        <w:t xml:space="preserve">Thus, the computational time </w:t>
      </w:r>
      <w:r w:rsidR="002E4301">
        <w:t xml:space="preserve">needed to get a pricing function for a fixed </w:t>
      </w:r>
      <w:r w:rsidR="002E4301" w:rsidRPr="00AD031F">
        <w:rPr>
          <w:i/>
        </w:rPr>
        <w:t>t</w:t>
      </w:r>
      <w:r w:rsidR="002E4301">
        <w:t xml:space="preserve"> </w:t>
      </w:r>
      <w:r w:rsidR="004409FF">
        <w:t xml:space="preserve">became </w:t>
      </w:r>
      <w:r w:rsidR="004409FF" w:rsidRPr="003A7A78">
        <w:rPr>
          <w:i/>
        </w:rPr>
        <w:t>O(N)</w:t>
      </w:r>
      <w:r w:rsidR="004409FF">
        <w:t xml:space="preserve"> as opposed to </w:t>
      </w:r>
      <w:r w:rsidR="004709E8" w:rsidRPr="004409FF">
        <w:rPr>
          <w:position w:val="-10"/>
        </w:rPr>
        <w:object w:dxaOrig="700" w:dyaOrig="360">
          <v:shape id="_x0000_i1033" type="#_x0000_t75" style="width:35.25pt;height:18pt" o:ole="">
            <v:imagedata r:id="rId24" o:title=""/>
          </v:shape>
          <o:OLEObject Type="Embed" ProgID="Equation.DSMT4" ShapeID="_x0000_i1033" DrawAspect="Content" ObjectID="_1341887471" r:id="rId25"/>
        </w:object>
      </w:r>
      <w:r w:rsidR="004409FF">
        <w:t>.</w:t>
      </w:r>
    </w:p>
    <w:p w:rsidR="004409FF" w:rsidRDefault="004409FF"/>
    <w:p w:rsidR="004409FF" w:rsidRDefault="004409FF"/>
    <w:p w:rsidR="004409FF" w:rsidRDefault="004409FF">
      <w:pPr>
        <w:rPr>
          <w:rFonts w:ascii="Arial" w:hAnsi="Arial" w:cs="Arial"/>
          <w:b/>
        </w:rPr>
      </w:pPr>
      <w:r w:rsidRPr="004409FF">
        <w:rPr>
          <w:rFonts w:ascii="Arial" w:hAnsi="Arial" w:cs="Arial"/>
          <w:b/>
        </w:rPr>
        <w:t>4. Empirical results: European</w:t>
      </w:r>
      <w:r w:rsidR="0065793A">
        <w:rPr>
          <w:rFonts w:ascii="Arial" w:hAnsi="Arial" w:cs="Arial"/>
          <w:b/>
        </w:rPr>
        <w:t xml:space="preserve"> and</w:t>
      </w:r>
      <w:r w:rsidRPr="004409FF">
        <w:rPr>
          <w:rFonts w:ascii="Arial" w:hAnsi="Arial" w:cs="Arial"/>
          <w:b/>
        </w:rPr>
        <w:t xml:space="preserve"> American </w:t>
      </w:r>
      <w:r w:rsidR="0065793A">
        <w:rPr>
          <w:rFonts w:ascii="Arial" w:hAnsi="Arial" w:cs="Arial"/>
          <w:b/>
        </w:rPr>
        <w:t>options with an arbitrary contract function</w:t>
      </w:r>
      <w:r w:rsidRPr="004409FF">
        <w:rPr>
          <w:rFonts w:ascii="Arial" w:hAnsi="Arial" w:cs="Arial"/>
          <w:b/>
        </w:rPr>
        <w:t>.</w:t>
      </w:r>
    </w:p>
    <w:p w:rsidR="00EA7BA2" w:rsidRDefault="00EA7BA2">
      <w:pPr>
        <w:rPr>
          <w:rFonts w:ascii="Arial" w:hAnsi="Arial" w:cs="Arial"/>
          <w:b/>
        </w:rPr>
      </w:pPr>
    </w:p>
    <w:p w:rsidR="00BD7F04" w:rsidRPr="00EA7BA2" w:rsidRDefault="00EA7BA2">
      <w:pPr>
        <w:rPr>
          <w:rFonts w:ascii="Arial" w:hAnsi="Arial" w:cs="Arial"/>
          <w:b/>
          <w:sz w:val="22"/>
          <w:szCs w:val="22"/>
        </w:rPr>
      </w:pPr>
      <w:r w:rsidRPr="00EA7BA2">
        <w:rPr>
          <w:rFonts w:ascii="Arial" w:hAnsi="Arial" w:cs="Arial"/>
          <w:b/>
          <w:sz w:val="22"/>
          <w:szCs w:val="22"/>
        </w:rPr>
        <w:t xml:space="preserve">4.0 </w:t>
      </w:r>
      <w:r w:rsidR="005357F8">
        <w:rPr>
          <w:rFonts w:ascii="Arial" w:hAnsi="Arial" w:cs="Arial"/>
          <w:b/>
          <w:sz w:val="22"/>
          <w:szCs w:val="22"/>
        </w:rPr>
        <w:t xml:space="preserve"> </w:t>
      </w:r>
      <w:r w:rsidRPr="00EA7BA2">
        <w:rPr>
          <w:rFonts w:ascii="Arial" w:hAnsi="Arial" w:cs="Arial"/>
          <w:b/>
          <w:sz w:val="22"/>
          <w:szCs w:val="22"/>
        </w:rPr>
        <w:t>MatLab implementation</w:t>
      </w:r>
    </w:p>
    <w:p w:rsidR="00EA7BA2" w:rsidRDefault="00EA7BA2">
      <w:pPr>
        <w:rPr>
          <w:rFonts w:ascii="Arial" w:hAnsi="Arial" w:cs="Arial"/>
          <w:b/>
        </w:rPr>
      </w:pPr>
    </w:p>
    <w:p w:rsidR="00BD7F04" w:rsidRPr="00C95164" w:rsidRDefault="007C5B19" w:rsidP="007C5B19">
      <w:pPr>
        <w:ind w:left="360"/>
        <w:rPr>
          <w:color w:val="000000"/>
        </w:rPr>
      </w:pPr>
      <w:r>
        <w:t xml:space="preserve">All Matlab files are supplied with comments for better understanding. </w:t>
      </w:r>
      <w:r w:rsidR="00BD7F04" w:rsidRPr="00BD7F04">
        <w:t>Ma</w:t>
      </w:r>
      <w:r w:rsidR="00EA7BA2">
        <w:t>tlab implementation consists of</w:t>
      </w:r>
      <w:r w:rsidR="00BD7F04" w:rsidRPr="00BD7F04">
        <w:t xml:space="preserve"> </w:t>
      </w:r>
      <w:r w:rsidR="004709E8">
        <w:t>the following</w:t>
      </w:r>
      <w:r w:rsidR="00BD7F04" w:rsidRPr="00C95164">
        <w:rPr>
          <w:color w:val="000000"/>
        </w:rPr>
        <w:t xml:space="preserve"> files:</w:t>
      </w:r>
    </w:p>
    <w:p w:rsidR="00BD7F04" w:rsidRPr="00BD7F04" w:rsidRDefault="00BD7F04"/>
    <w:p w:rsidR="00B00B82" w:rsidRDefault="00B00B82" w:rsidP="00B00B82">
      <w:pPr>
        <w:numPr>
          <w:ilvl w:val="0"/>
          <w:numId w:val="3"/>
        </w:numPr>
      </w:pPr>
      <w:r>
        <w:t xml:space="preserve">Finite_Difference_Pricing.fig, </w:t>
      </w:r>
      <w:r w:rsidR="005357F8">
        <w:t>Finite_Difference_Pricing.m implement graphical user interface to show plots</w:t>
      </w:r>
      <w:r w:rsidR="00917FCB">
        <w:t>. To run GUI, run Finite_Difference_Pricing.m.</w:t>
      </w:r>
    </w:p>
    <w:p w:rsidR="00917FCB" w:rsidRDefault="00917FCB" w:rsidP="00917FCB">
      <w:pPr>
        <w:ind w:left="720"/>
      </w:pPr>
    </w:p>
    <w:p w:rsidR="00BD7F04" w:rsidRDefault="005357F8" w:rsidP="00BD7F04">
      <w:pPr>
        <w:numPr>
          <w:ilvl w:val="0"/>
          <w:numId w:val="3"/>
        </w:numPr>
      </w:pPr>
      <w:r>
        <w:t>get_plot_data</w:t>
      </w:r>
      <w:r w:rsidR="00BD7F04" w:rsidRPr="00BD7F04">
        <w:t xml:space="preserve">.m – creates </w:t>
      </w:r>
      <w:r>
        <w:t>dataset plotdata.mat to be used in 1)</w:t>
      </w:r>
    </w:p>
    <w:p w:rsidR="005357F8" w:rsidRDefault="005357F8" w:rsidP="005357F8">
      <w:pPr>
        <w:ind w:left="360"/>
      </w:pPr>
    </w:p>
    <w:p w:rsidR="005357F8" w:rsidRDefault="00C03F57" w:rsidP="005357F8">
      <w:pPr>
        <w:pStyle w:val="ListParagraph"/>
        <w:numPr>
          <w:ilvl w:val="0"/>
          <w:numId w:val="3"/>
        </w:numPr>
      </w:pPr>
      <w:r>
        <w:t>claim</w:t>
      </w:r>
      <w:r w:rsidR="00BD7F04" w:rsidRPr="00BD7F04">
        <w:t xml:space="preserve">.m – </w:t>
      </w:r>
      <w:r w:rsidR="005357F8">
        <w:t xml:space="preserve">the core file that </w:t>
      </w:r>
      <w:r w:rsidR="00BD7F04" w:rsidRPr="00BD7F04">
        <w:t xml:space="preserve">contains pricing function for </w:t>
      </w:r>
      <w:r w:rsidR="005357F8">
        <w:t xml:space="preserve">a </w:t>
      </w:r>
      <w:r>
        <w:t>simple claim</w:t>
      </w:r>
      <w:r w:rsidR="005357F8">
        <w:t xml:space="preserve">. The function </w:t>
      </w:r>
      <w:r w:rsidR="005357F8" w:rsidRPr="005357F8">
        <w:rPr>
          <w:i/>
        </w:rPr>
        <w:t>claim</w:t>
      </w:r>
      <w:r w:rsidR="005357F8">
        <w:t xml:space="preserve"> has a number of parameters: the name of contract function, the indicator of whether the contract is European or American, and so on. </w:t>
      </w:r>
    </w:p>
    <w:p w:rsidR="00F57EF2" w:rsidRDefault="00F57EF2" w:rsidP="00F57EF2">
      <w:pPr>
        <w:pStyle w:val="ListParagraph"/>
      </w:pPr>
    </w:p>
    <w:p w:rsidR="00BD7F04" w:rsidRDefault="00C03F57" w:rsidP="00BD7F04">
      <w:pPr>
        <w:numPr>
          <w:ilvl w:val="0"/>
          <w:numId w:val="3"/>
        </w:numPr>
      </w:pPr>
      <w:r>
        <w:t>call</w:t>
      </w:r>
      <w:r w:rsidR="00BD7F04" w:rsidRPr="00BD7F04">
        <w:t xml:space="preserve">.m – </w:t>
      </w:r>
      <w:r>
        <w:t>contract function for a regular call option</w:t>
      </w:r>
    </w:p>
    <w:p w:rsidR="00C03F57" w:rsidRDefault="00C03F57" w:rsidP="00BD7F04">
      <w:pPr>
        <w:numPr>
          <w:ilvl w:val="0"/>
          <w:numId w:val="3"/>
        </w:numPr>
      </w:pPr>
      <w:r>
        <w:t>put.m – contract function for a regular put option</w:t>
      </w:r>
    </w:p>
    <w:p w:rsidR="00BD7F04" w:rsidRPr="00BD7F04" w:rsidRDefault="00C95164" w:rsidP="00BD7F04">
      <w:pPr>
        <w:numPr>
          <w:ilvl w:val="0"/>
          <w:numId w:val="3"/>
        </w:numPr>
      </w:pPr>
      <w:r>
        <w:t>root.m – contract function for an exotic “root” call option</w:t>
      </w:r>
    </w:p>
    <w:p w:rsidR="00BD7F04" w:rsidRDefault="00C95164" w:rsidP="00BD7F04">
      <w:pPr>
        <w:numPr>
          <w:ilvl w:val="0"/>
          <w:numId w:val="3"/>
        </w:numPr>
      </w:pPr>
      <w:r>
        <w:t>sine_opt.m – contract function for an exotic “sine” contract</w:t>
      </w:r>
    </w:p>
    <w:p w:rsidR="00C95164" w:rsidRDefault="00C95164" w:rsidP="00C95164">
      <w:pPr>
        <w:ind w:left="360"/>
      </w:pPr>
    </w:p>
    <w:p w:rsidR="00C95164" w:rsidRPr="00BD7F04" w:rsidRDefault="005357F8" w:rsidP="00C95164">
      <w:pPr>
        <w:ind w:left="360"/>
      </w:pPr>
      <w:r>
        <w:t xml:space="preserve">Contract functions </w:t>
      </w:r>
      <w:r w:rsidR="00C95164">
        <w:t xml:space="preserve">take one argument – the underlying price. In particular, </w:t>
      </w:r>
      <w:r w:rsidR="00EA7BA2">
        <w:t xml:space="preserve">graphs in Part 4.1, 4.2, 4.3, 4.4 were created using contract functions </w:t>
      </w:r>
      <w:r w:rsidR="007C5B19">
        <w:t xml:space="preserve">defined </w:t>
      </w:r>
      <w:r w:rsidR="00EA7BA2">
        <w:t>in the files call.m, root.m, put.m, sine_opt.m above, respectively.</w:t>
      </w:r>
      <w:r w:rsidR="007C5B19">
        <w:t xml:space="preserve"> </w:t>
      </w:r>
      <w:r w:rsidR="00251D3A">
        <w:t xml:space="preserve">You are encouraged to create your own contract functions and, with a small modification of </w:t>
      </w:r>
      <w:r>
        <w:t>get_plot_data</w:t>
      </w:r>
      <w:r w:rsidRPr="00BD7F04">
        <w:t>.m</w:t>
      </w:r>
      <w:r w:rsidR="00251D3A">
        <w:t>, you can price the claim and create graphs similar to those shown below.</w:t>
      </w:r>
    </w:p>
    <w:p w:rsidR="00BD7F04" w:rsidRDefault="00BD7F04">
      <w:pPr>
        <w:rPr>
          <w:rFonts w:ascii="Arial" w:hAnsi="Arial" w:cs="Arial"/>
          <w:b/>
        </w:rPr>
      </w:pPr>
    </w:p>
    <w:p w:rsidR="00013E63" w:rsidRDefault="00013E63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917FCB" w:rsidRDefault="00917FCB">
      <w:pPr>
        <w:rPr>
          <w:rFonts w:ascii="Arial" w:hAnsi="Arial" w:cs="Arial"/>
          <w:b/>
        </w:rPr>
      </w:pPr>
    </w:p>
    <w:p w:rsidR="00AD031F" w:rsidRDefault="00AD031F">
      <w:pPr>
        <w:rPr>
          <w:rFonts w:ascii="Arial" w:hAnsi="Arial" w:cs="Arial"/>
          <w:b/>
        </w:rPr>
      </w:pPr>
    </w:p>
    <w:p w:rsidR="00013E63" w:rsidRPr="00013E63" w:rsidRDefault="00E6766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4.1 Vanilla</w:t>
      </w:r>
      <w:r w:rsidR="00013E63" w:rsidRPr="00013E63">
        <w:rPr>
          <w:rFonts w:ascii="Arial" w:hAnsi="Arial" w:cs="Arial"/>
          <w:b/>
          <w:sz w:val="22"/>
          <w:szCs w:val="22"/>
        </w:rPr>
        <w:t xml:space="preserve"> European</w:t>
      </w:r>
      <w:r w:rsidR="00AD031F">
        <w:rPr>
          <w:rFonts w:ascii="Arial" w:hAnsi="Arial" w:cs="Arial"/>
          <w:b/>
          <w:sz w:val="22"/>
          <w:szCs w:val="22"/>
        </w:rPr>
        <w:t xml:space="preserve"> C</w:t>
      </w:r>
      <w:r w:rsidR="00013E63">
        <w:rPr>
          <w:rFonts w:ascii="Arial" w:hAnsi="Arial" w:cs="Arial"/>
          <w:b/>
          <w:sz w:val="22"/>
          <w:szCs w:val="22"/>
        </w:rPr>
        <w:t>all</w:t>
      </w:r>
      <w:r w:rsidR="00AD031F">
        <w:rPr>
          <w:rFonts w:ascii="Arial" w:hAnsi="Arial" w:cs="Arial"/>
          <w:b/>
          <w:sz w:val="22"/>
          <w:szCs w:val="22"/>
        </w:rPr>
        <w:t xml:space="preserve"> O</w:t>
      </w:r>
      <w:r w:rsidR="00013E63" w:rsidRPr="00013E63">
        <w:rPr>
          <w:rFonts w:ascii="Arial" w:hAnsi="Arial" w:cs="Arial"/>
          <w:b/>
          <w:sz w:val="22"/>
          <w:szCs w:val="22"/>
        </w:rPr>
        <w:t>ption</w:t>
      </w:r>
    </w:p>
    <w:p w:rsidR="004C7339" w:rsidRDefault="004C7339">
      <w:pPr>
        <w:rPr>
          <w:b/>
        </w:rPr>
      </w:pPr>
    </w:p>
    <w:p w:rsidR="004C7339" w:rsidRDefault="004C7339">
      <w:pPr>
        <w:rPr>
          <w:b/>
        </w:rPr>
      </w:pPr>
    </w:p>
    <w:p w:rsidR="004409FF" w:rsidRDefault="004409FF">
      <w:r>
        <w:t>First, consider a standard European call option:</w:t>
      </w:r>
    </w:p>
    <w:p w:rsidR="004409FF" w:rsidRDefault="004409FF"/>
    <w:tbl>
      <w:tblPr>
        <w:tblW w:w="2300" w:type="dxa"/>
        <w:jc w:val="center"/>
        <w:tblCellMar>
          <w:left w:w="0" w:type="dxa"/>
          <w:right w:w="0" w:type="dxa"/>
        </w:tblCellMar>
        <w:tblLook w:val="0000"/>
      </w:tblPr>
      <w:tblGrid>
        <w:gridCol w:w="1180"/>
        <w:gridCol w:w="1120"/>
      </w:tblGrid>
      <w:tr w:rsidR="004409FF" w:rsidTr="004409FF">
        <w:trPr>
          <w:trHeight w:val="255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4409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$110</w:t>
            </w:r>
          </w:p>
        </w:tc>
      </w:tr>
      <w:tr w:rsidR="004409FF" w:rsidTr="004409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$100</w:t>
            </w:r>
          </w:p>
        </w:tc>
      </w:tr>
      <w:tr w:rsidR="004409FF" w:rsidTr="004409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0.05</w:t>
            </w:r>
          </w:p>
        </w:tc>
      </w:tr>
      <w:tr w:rsidR="004409FF" w:rsidTr="004409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0.3</w:t>
            </w:r>
          </w:p>
        </w:tc>
      </w:tr>
      <w:tr w:rsidR="004409FF" w:rsidTr="004409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4409FF" w:rsidTr="004409FF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B-S price: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409FF" w:rsidRDefault="004409FF" w:rsidP="007860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$21.061</w:t>
            </w:r>
          </w:p>
        </w:tc>
      </w:tr>
    </w:tbl>
    <w:p w:rsidR="004409FF" w:rsidRPr="004409FF" w:rsidRDefault="004409FF"/>
    <w:p w:rsidR="004409FF" w:rsidRDefault="004409FF">
      <w:r>
        <w:t xml:space="preserve">For this option, </w:t>
      </w:r>
      <w:r w:rsidR="004B65CA">
        <w:t xml:space="preserve">L = 5.9 and the stock price at maturity is assumed to be in [$0, $365] which appears reasonable. </w:t>
      </w:r>
    </w:p>
    <w:p w:rsidR="004B65CA" w:rsidRDefault="004B65CA"/>
    <w:p w:rsidR="004409FF" w:rsidRDefault="004409FF">
      <w:r>
        <w:t xml:space="preserve">Since the true price is known to be $21.061, we can run the finite difference method and get the absolute pricing error to investigate the convergence with respect to different parameters. </w:t>
      </w:r>
    </w:p>
    <w:p w:rsidR="004409FF" w:rsidRDefault="004409FF"/>
    <w:p w:rsidR="00E959FB" w:rsidRDefault="00C72657">
      <w:r>
        <w:t>On the next page we can</w:t>
      </w:r>
      <w:r w:rsidR="004409FF">
        <w:t xml:space="preserve"> see how the error depends on the number of space and ti</w:t>
      </w:r>
      <w:r w:rsidR="00E959FB">
        <w:t>me nodes, N and M, respectively.</w:t>
      </w:r>
      <w:r>
        <w:t xml:space="preserve"> </w:t>
      </w:r>
      <w:r w:rsidR="00E959FB">
        <w:t>As we see</w:t>
      </w:r>
      <w:r w:rsidR="00AD031F">
        <w:t xml:space="preserve"> from Figure 1</w:t>
      </w:r>
      <w:r w:rsidR="00E959FB">
        <w:t xml:space="preserve">, there is a non-monotone convergence of </w:t>
      </w:r>
      <w:r w:rsidR="004E5CDB">
        <w:t>the mispricing error to zero as</w:t>
      </w:r>
      <w:r w:rsidR="00E959FB">
        <w:t xml:space="preserve"> N goes up. However, for any fixed N, the mispricing error is almost the same for </w:t>
      </w:r>
      <w:r>
        <w:t>all values of M greater than 60.</w:t>
      </w:r>
      <w:r w:rsidR="00E42650">
        <w:t xml:space="preserve"> </w:t>
      </w:r>
      <w:r w:rsidR="00A40CBF">
        <w:t>The parameter theta ranges from 0 (“fully explicit” finite difference method) to 1 (</w:t>
      </w:r>
      <w:r w:rsidR="003A7A78">
        <w:t>“</w:t>
      </w:r>
      <w:r w:rsidR="00A40CBF">
        <w:t>fully implicit</w:t>
      </w:r>
      <w:r w:rsidR="003A7A78">
        <w:t>”</w:t>
      </w:r>
      <w:r w:rsidR="00A40CBF">
        <w:t xml:space="preserve">). </w:t>
      </w:r>
      <w:r w:rsidR="00E42650">
        <w:t xml:space="preserve">In this example, theta is set to 0.5 which corresponds </w:t>
      </w:r>
      <w:r w:rsidR="00A40CBF">
        <w:t xml:space="preserve">to so-called </w:t>
      </w:r>
      <w:r w:rsidR="00E42650">
        <w:t>Crank-Nicholson scheme.</w:t>
      </w:r>
    </w:p>
    <w:p w:rsidR="00E959FB" w:rsidRDefault="00E959FB"/>
    <w:p w:rsidR="004E5CDB" w:rsidRDefault="004E5CDB"/>
    <w:p w:rsidR="00C72657" w:rsidRPr="00C72657" w:rsidRDefault="00570E3D">
      <w:r>
        <w:rPr>
          <w:noProof/>
        </w:rPr>
        <w:drawing>
          <wp:inline distT="0" distB="0" distL="0" distR="0">
            <wp:extent cx="6877050" cy="4019550"/>
            <wp:effectExtent l="19050" t="0" r="0" b="0"/>
            <wp:docPr id="12" name="Picture 12" descr="euro_call_wrt_sp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uro_call_wrt_space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9FB" w:rsidRDefault="00E959FB"/>
    <w:p w:rsidR="00C72657" w:rsidRPr="00AD031F" w:rsidRDefault="00AD031F" w:rsidP="00AD031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Fugure </w:t>
      </w:r>
      <w:r w:rsidRPr="00AD031F">
        <w:rPr>
          <w:rFonts w:ascii="Arial" w:hAnsi="Arial" w:cs="Arial"/>
          <w:b/>
          <w:sz w:val="22"/>
          <w:szCs w:val="22"/>
        </w:rPr>
        <w:t>1. Pricing error for vanilla</w:t>
      </w:r>
      <w:r>
        <w:rPr>
          <w:rFonts w:ascii="Arial" w:hAnsi="Arial" w:cs="Arial"/>
          <w:b/>
          <w:sz w:val="22"/>
          <w:szCs w:val="22"/>
        </w:rPr>
        <w:t xml:space="preserve"> European call,</w:t>
      </w:r>
      <w:r w:rsidRPr="00AD031F">
        <w:rPr>
          <w:rFonts w:ascii="Arial" w:hAnsi="Arial" w:cs="Arial"/>
          <w:b/>
          <w:sz w:val="22"/>
          <w:szCs w:val="22"/>
        </w:rPr>
        <w:t xml:space="preserve"> theta = 0.5</w:t>
      </w:r>
    </w:p>
    <w:p w:rsidR="00251D3A" w:rsidRDefault="00251D3A"/>
    <w:p w:rsidR="004409FF" w:rsidRDefault="00E42650">
      <w:r>
        <w:t>Let’s now investigate convergence w.r.t. theta. Denote</w:t>
      </w:r>
    </w:p>
    <w:p w:rsidR="00E42650" w:rsidRDefault="00E42650"/>
    <w:p w:rsidR="00E42650" w:rsidRPr="004409FF" w:rsidRDefault="00E42650" w:rsidP="00E42650">
      <w:pPr>
        <w:jc w:val="center"/>
      </w:pPr>
      <w:r w:rsidRPr="00E42650">
        <w:rPr>
          <w:position w:val="-74"/>
        </w:rPr>
        <w:object w:dxaOrig="1040" w:dyaOrig="1620">
          <v:shape id="_x0000_i1034" type="#_x0000_t75" style="width:51.75pt;height:81pt" o:ole="">
            <v:imagedata r:id="rId27" o:title=""/>
          </v:shape>
          <o:OLEObject Type="Embed" ProgID="Equation.DSMT4" ShapeID="_x0000_i1034" DrawAspect="Content" ObjectID="_1341887472" r:id="rId28"/>
        </w:object>
      </w:r>
    </w:p>
    <w:p w:rsidR="00E42650" w:rsidRDefault="00E42650"/>
    <w:p w:rsidR="004C7339" w:rsidRDefault="00E42650">
      <w:r>
        <w:t>That is, h and k are the sizes of state and time steps in discretization. According to the theory,</w:t>
      </w:r>
      <w:r w:rsidR="00C2083C">
        <w:t xml:space="preserve"> for </w:t>
      </w:r>
      <w:r w:rsidR="00C2083C" w:rsidRPr="00C2083C">
        <w:rPr>
          <w:position w:val="-6"/>
        </w:rPr>
        <w:object w:dxaOrig="1440" w:dyaOrig="279">
          <v:shape id="_x0000_i1035" type="#_x0000_t75" style="width:1in;height:14.25pt" o:ole="">
            <v:imagedata r:id="rId29" o:title=""/>
          </v:shape>
          <o:OLEObject Type="Embed" ProgID="Equation.DSMT4" ShapeID="_x0000_i1035" DrawAspect="Content" ObjectID="_1341887473" r:id="rId30"/>
        </w:object>
      </w:r>
      <w:r w:rsidR="00C2083C">
        <w:t xml:space="preserve"> it’s enough to have h and k tend to zero to get convergence. </w:t>
      </w:r>
      <w:r>
        <w:t xml:space="preserve"> </w:t>
      </w:r>
      <w:r w:rsidR="00C2083C">
        <w:t xml:space="preserve">For </w:t>
      </w:r>
      <w:r w:rsidR="00C2083C" w:rsidRPr="00C2083C">
        <w:rPr>
          <w:position w:val="-6"/>
        </w:rPr>
        <w:object w:dxaOrig="1480" w:dyaOrig="279">
          <v:shape id="_x0000_i1036" type="#_x0000_t75" style="width:74.25pt;height:14.25pt" o:ole="">
            <v:imagedata r:id="rId31" o:title=""/>
          </v:shape>
          <o:OLEObject Type="Embed" ProgID="Equation.DSMT4" ShapeID="_x0000_i1036" DrawAspect="Content" ObjectID="_1341887474" r:id="rId32"/>
        </w:object>
      </w:r>
      <w:r w:rsidR="00C2083C">
        <w:t xml:space="preserve"> we have one more requirement: </w:t>
      </w:r>
      <w:r w:rsidR="00C2083C" w:rsidRPr="00C2083C">
        <w:rPr>
          <w:position w:val="-6"/>
        </w:rPr>
        <w:object w:dxaOrig="540" w:dyaOrig="320">
          <v:shape id="_x0000_i1037" type="#_x0000_t75" style="width:27pt;height:15.75pt" o:ole="">
            <v:imagedata r:id="rId33" o:title=""/>
          </v:shape>
          <o:OLEObject Type="Embed" ProgID="Equation.DSMT4" ShapeID="_x0000_i1037" DrawAspect="Content" ObjectID="_1341887475" r:id="rId34"/>
        </w:object>
      </w:r>
      <w:r w:rsidR="00C2083C">
        <w:t xml:space="preserve"> should go to zero as well. For instance, from the previous two graphs we see than N = 15000 and M = 60 should give us a small error. However, if we try to vary theta under these N and M, we’ll get the following:</w:t>
      </w:r>
    </w:p>
    <w:p w:rsidR="00C2083C" w:rsidRDefault="00C2083C"/>
    <w:tbl>
      <w:tblPr>
        <w:tblW w:w="2620" w:type="dxa"/>
        <w:jc w:val="center"/>
        <w:tblCellMar>
          <w:left w:w="0" w:type="dxa"/>
          <w:right w:w="0" w:type="dxa"/>
        </w:tblCellMar>
        <w:tblLook w:val="0000"/>
      </w:tblPr>
      <w:tblGrid>
        <w:gridCol w:w="960"/>
        <w:gridCol w:w="1660"/>
      </w:tblGrid>
      <w:tr w:rsidR="00C2083C" w:rsidTr="00C2083C"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Theta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Mispricing error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1.00E+206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1.00E+47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6.32122E+26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2.68414E+14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67.1643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0.0132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0.0065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Pr="00290831" w:rsidRDefault="00C20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831">
              <w:rPr>
                <w:rFonts w:ascii="Arial" w:hAnsi="Arial" w:cs="Arial"/>
                <w:b/>
                <w:sz w:val="20"/>
                <w:szCs w:val="20"/>
              </w:rPr>
              <w:t>0.7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Pr="00290831" w:rsidRDefault="00C2083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831">
              <w:rPr>
                <w:rFonts w:ascii="Arial" w:hAnsi="Arial" w:cs="Arial"/>
                <w:b/>
                <w:sz w:val="20"/>
                <w:szCs w:val="20"/>
              </w:rPr>
              <w:t>0.0002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0.0138</w:t>
            </w:r>
          </w:p>
        </w:tc>
      </w:tr>
      <w:tr w:rsidR="00C2083C" w:rsidTr="00C2083C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2083C" w:rsidRDefault="00C2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0.0206</w:t>
            </w:r>
          </w:p>
        </w:tc>
      </w:tr>
    </w:tbl>
    <w:p w:rsidR="00C2083C" w:rsidRDefault="00C2083C"/>
    <w:p w:rsidR="00601761" w:rsidRDefault="00601761">
      <w:r>
        <w:t xml:space="preserve">Apparently, there’s no convergence for theta under 0.5 because </w:t>
      </w:r>
      <w:r w:rsidRPr="00C2083C">
        <w:rPr>
          <w:position w:val="-6"/>
        </w:rPr>
        <w:object w:dxaOrig="540" w:dyaOrig="320">
          <v:shape id="_x0000_i1038" type="#_x0000_t75" style="width:27pt;height:15.75pt" o:ole="">
            <v:imagedata r:id="rId33" o:title=""/>
          </v:shape>
          <o:OLEObject Type="Embed" ProgID="Equation.DSMT4" ShapeID="_x0000_i1038" DrawAspect="Content" ObjectID="_1341887476" r:id="rId35"/>
        </w:object>
      </w:r>
      <w:r>
        <w:t xml:space="preserve"> is not small. If we set N = 2000 and M = 20000, </w:t>
      </w:r>
      <w:r w:rsidRPr="00C2083C">
        <w:rPr>
          <w:position w:val="-6"/>
        </w:rPr>
        <w:object w:dxaOrig="540" w:dyaOrig="320">
          <v:shape id="_x0000_i1039" type="#_x0000_t75" style="width:27pt;height:15.75pt" o:ole="">
            <v:imagedata r:id="rId33" o:title=""/>
          </v:shape>
          <o:OLEObject Type="Embed" ProgID="Equation.DSMT4" ShapeID="_x0000_i1039" DrawAspect="Content" ObjectID="_1341887477" r:id="rId36"/>
        </w:object>
      </w:r>
      <w:r>
        <w:t xml:space="preserve"> will become small enough to</w:t>
      </w:r>
      <w:r w:rsidR="00013E63">
        <w:t xml:space="preserve"> have convergence for all thet</w:t>
      </w:r>
      <w:r w:rsidR="00AD031F">
        <w:t>a. Figure 2 shows that the mispricing is about 5 cents for all values of theta.</w:t>
      </w:r>
    </w:p>
    <w:p w:rsidR="00AD031F" w:rsidRDefault="00AD031F"/>
    <w:p w:rsidR="00D4365E" w:rsidRDefault="00570E3D" w:rsidP="00D4365E">
      <w:pPr>
        <w:jc w:val="center"/>
      </w:pPr>
      <w:r>
        <w:rPr>
          <w:noProof/>
        </w:rPr>
        <w:lastRenderedPageBreak/>
        <w:drawing>
          <wp:inline distT="0" distB="0" distL="0" distR="0">
            <wp:extent cx="6673094" cy="4162425"/>
            <wp:effectExtent l="19050" t="0" r="0" b="0"/>
            <wp:docPr id="20" name="Picture 20" descr="thet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heta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094" cy="416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31F" w:rsidRPr="00AD031F" w:rsidRDefault="00AD031F" w:rsidP="00AD031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Fugure 2</w:t>
      </w:r>
      <w:r w:rsidRPr="00AD031F">
        <w:rPr>
          <w:rFonts w:ascii="Arial" w:hAnsi="Arial" w:cs="Arial"/>
          <w:b/>
          <w:sz w:val="22"/>
          <w:szCs w:val="22"/>
        </w:rPr>
        <w:t>. Pricing error for vanilla</w:t>
      </w:r>
      <w:r>
        <w:rPr>
          <w:rFonts w:ascii="Arial" w:hAnsi="Arial" w:cs="Arial"/>
          <w:b/>
          <w:sz w:val="22"/>
          <w:szCs w:val="22"/>
        </w:rPr>
        <w:t xml:space="preserve"> European call vs. theta. N = 2000, M = 20000.</w:t>
      </w:r>
    </w:p>
    <w:p w:rsidR="00AD031F" w:rsidRDefault="00AD031F" w:rsidP="00D4365E">
      <w:pPr>
        <w:jc w:val="center"/>
      </w:pPr>
    </w:p>
    <w:p w:rsidR="004E5CDB" w:rsidRDefault="00290831">
      <w:r>
        <w:t>Therefore, i</w:t>
      </w:r>
      <w:r w:rsidR="00040FB7">
        <w:t>t is advi</w:t>
      </w:r>
      <w:r w:rsidR="00AD031F">
        <w:t>sable to use theta at least ½</w:t>
      </w:r>
      <w:r>
        <w:t xml:space="preserve"> to ensure unconditio</w:t>
      </w:r>
      <w:r w:rsidR="00D4365E">
        <w:t xml:space="preserve">nal convergence. </w:t>
      </w:r>
    </w:p>
    <w:p w:rsidR="004E5CDB" w:rsidRDefault="004E5CDB"/>
    <w:p w:rsidR="00423131" w:rsidRDefault="00423131"/>
    <w:p w:rsidR="004C7339" w:rsidRPr="004E5CDB" w:rsidRDefault="007D086E">
      <w:r>
        <w:rPr>
          <w:rFonts w:ascii="Arial" w:hAnsi="Arial" w:cs="Arial"/>
          <w:b/>
          <w:sz w:val="22"/>
          <w:szCs w:val="22"/>
        </w:rPr>
        <w:t xml:space="preserve">4.2 </w:t>
      </w:r>
      <w:r w:rsidR="00013E63" w:rsidRPr="00013E63">
        <w:rPr>
          <w:rFonts w:ascii="Arial" w:hAnsi="Arial" w:cs="Arial"/>
          <w:b/>
          <w:sz w:val="22"/>
          <w:szCs w:val="22"/>
        </w:rPr>
        <w:t>Exotic</w:t>
      </w:r>
      <w:r>
        <w:rPr>
          <w:rFonts w:ascii="Arial" w:hAnsi="Arial" w:cs="Arial"/>
          <w:b/>
          <w:sz w:val="22"/>
          <w:szCs w:val="22"/>
        </w:rPr>
        <w:t xml:space="preserve"> European</w:t>
      </w:r>
      <w:r w:rsidR="00013E63" w:rsidRPr="00013E63">
        <w:rPr>
          <w:rFonts w:ascii="Arial" w:hAnsi="Arial" w:cs="Arial"/>
          <w:b/>
          <w:sz w:val="22"/>
          <w:szCs w:val="22"/>
        </w:rPr>
        <w:t xml:space="preserve"> </w:t>
      </w:r>
      <w:r w:rsidR="00AD031F">
        <w:rPr>
          <w:rFonts w:ascii="Arial" w:hAnsi="Arial" w:cs="Arial"/>
          <w:b/>
          <w:sz w:val="22"/>
          <w:szCs w:val="22"/>
        </w:rPr>
        <w:t>“R</w:t>
      </w:r>
      <w:r w:rsidR="00A04296">
        <w:rPr>
          <w:rFonts w:ascii="Arial" w:hAnsi="Arial" w:cs="Arial"/>
          <w:b/>
          <w:sz w:val="22"/>
          <w:szCs w:val="22"/>
        </w:rPr>
        <w:t xml:space="preserve">oot” </w:t>
      </w:r>
      <w:r w:rsidR="00AD031F">
        <w:rPr>
          <w:rFonts w:ascii="Arial" w:hAnsi="Arial" w:cs="Arial"/>
          <w:b/>
          <w:sz w:val="22"/>
          <w:szCs w:val="22"/>
        </w:rPr>
        <w:t>O</w:t>
      </w:r>
      <w:r w:rsidR="00013E63" w:rsidRPr="00013E63">
        <w:rPr>
          <w:rFonts w:ascii="Arial" w:hAnsi="Arial" w:cs="Arial"/>
          <w:b/>
          <w:sz w:val="22"/>
          <w:szCs w:val="22"/>
        </w:rPr>
        <w:t>ption</w:t>
      </w:r>
    </w:p>
    <w:p w:rsidR="00013E63" w:rsidRDefault="00013E63">
      <w:pPr>
        <w:rPr>
          <w:b/>
        </w:rPr>
      </w:pPr>
    </w:p>
    <w:p w:rsidR="00BD7F04" w:rsidRDefault="00BD7F04">
      <w:r w:rsidRPr="00BD7F04">
        <w:t>The only difference from 4.1 is that the payoff function is:</w:t>
      </w:r>
    </w:p>
    <w:p w:rsidR="00BD7F04" w:rsidRPr="00BD7F04" w:rsidRDefault="00BD7F04"/>
    <w:p w:rsidR="00013E63" w:rsidRDefault="00BD7F04" w:rsidP="00BD7F04">
      <w:pPr>
        <w:jc w:val="center"/>
        <w:rPr>
          <w:b/>
        </w:rPr>
      </w:pPr>
      <w:r w:rsidRPr="00F23F40">
        <w:rPr>
          <w:b/>
          <w:position w:val="-14"/>
        </w:rPr>
        <w:object w:dxaOrig="3140" w:dyaOrig="420">
          <v:shape id="_x0000_i1040" type="#_x0000_t75" style="width:206.25pt;height:27.75pt" o:ole="">
            <v:imagedata r:id="rId38" o:title=""/>
          </v:shape>
          <o:OLEObject Type="Embed" ProgID="Equation.DSMT4" ShapeID="_x0000_i1040" DrawAspect="Content" ObjectID="_1341887478" r:id="rId39"/>
        </w:object>
      </w:r>
    </w:p>
    <w:p w:rsidR="004C7339" w:rsidRDefault="004C7339">
      <w:pPr>
        <w:rPr>
          <w:b/>
        </w:rPr>
      </w:pPr>
    </w:p>
    <w:p w:rsidR="004C7339" w:rsidRDefault="007644D6">
      <w:r>
        <w:t>T</w:t>
      </w:r>
      <w:r w:rsidR="00040FB7">
        <w:t xml:space="preserve">he true price is unknown, </w:t>
      </w:r>
      <w:r>
        <w:t>and Figure 3 shows the</w:t>
      </w:r>
      <w:r w:rsidR="00040FB7">
        <w:t xml:space="preserve"> estimated pric</w:t>
      </w:r>
      <w:r>
        <w:t>e vs.  N and M, with theta = 0.5.</w:t>
      </w:r>
    </w:p>
    <w:p w:rsidR="004E5CDB" w:rsidRDefault="004E5CDB"/>
    <w:p w:rsidR="00040FB7" w:rsidRDefault="00040FB7"/>
    <w:p w:rsidR="00040FB7" w:rsidRPr="00040FB7" w:rsidRDefault="00570E3D">
      <w:r>
        <w:rPr>
          <w:noProof/>
        </w:rPr>
        <w:lastRenderedPageBreak/>
        <w:drawing>
          <wp:inline distT="0" distB="0" distL="0" distR="0">
            <wp:extent cx="6858000" cy="4876800"/>
            <wp:effectExtent l="19050" t="0" r="0" b="0"/>
            <wp:docPr id="22" name="Picture 22" descr="ro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oot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4D6" w:rsidRPr="00AD031F" w:rsidRDefault="007644D6" w:rsidP="007644D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Fugure 3</w:t>
      </w:r>
      <w:r w:rsidRPr="00AD031F">
        <w:rPr>
          <w:rFonts w:ascii="Arial" w:hAnsi="Arial" w:cs="Arial"/>
          <w:b/>
          <w:sz w:val="22"/>
          <w:szCs w:val="22"/>
        </w:rPr>
        <w:t>. Pric</w:t>
      </w:r>
      <w:r>
        <w:rPr>
          <w:rFonts w:ascii="Arial" w:hAnsi="Arial" w:cs="Arial"/>
          <w:b/>
          <w:sz w:val="22"/>
          <w:szCs w:val="22"/>
        </w:rPr>
        <w:t>e of exotic European call,</w:t>
      </w:r>
      <w:r w:rsidRPr="00AD031F">
        <w:rPr>
          <w:rFonts w:ascii="Arial" w:hAnsi="Arial" w:cs="Arial"/>
          <w:b/>
          <w:sz w:val="22"/>
          <w:szCs w:val="22"/>
        </w:rPr>
        <w:t xml:space="preserve"> theta = 0.5</w:t>
      </w:r>
    </w:p>
    <w:p w:rsidR="00BD7F04" w:rsidRDefault="00BD7F04">
      <w:pPr>
        <w:rPr>
          <w:b/>
        </w:rPr>
      </w:pPr>
    </w:p>
    <w:p w:rsidR="004C7339" w:rsidRDefault="004C7339">
      <w:pPr>
        <w:rPr>
          <w:b/>
        </w:rPr>
      </w:pPr>
    </w:p>
    <w:p w:rsidR="004C7339" w:rsidRDefault="00040FB7">
      <w:r>
        <w:t>The picture is very similar to that of 4.1. There’s a non-monotone convergence w.r.t. N and it looks like the true price is in $[28.54; 28.55].</w:t>
      </w:r>
      <w:r w:rsidR="00F13A62">
        <w:t xml:space="preserve"> It makes sense because thi</w:t>
      </w:r>
      <w:r w:rsidR="004709E8">
        <w:t>s option offers an extra payoff</w:t>
      </w:r>
      <w:r w:rsidR="00F13A62">
        <w:t xml:space="preserve"> of </w:t>
      </w:r>
      <w:r w:rsidR="00F13A62" w:rsidRPr="00F13A62">
        <w:rPr>
          <w:position w:val="-14"/>
        </w:rPr>
        <w:object w:dxaOrig="499" w:dyaOrig="420">
          <v:shape id="_x0000_i1041" type="#_x0000_t75" style="width:24.75pt;height:21pt" o:ole="">
            <v:imagedata r:id="rId41" o:title=""/>
          </v:shape>
          <o:OLEObject Type="Embed" ProgID="Equation.DSMT4" ShapeID="_x0000_i1041" DrawAspect="Content" ObjectID="_1341887479" r:id="rId42"/>
        </w:object>
      </w:r>
      <w:r w:rsidR="00F13A62">
        <w:t xml:space="preserve"> over the standard one from 4.1 whose price was $21.06.</w:t>
      </w:r>
    </w:p>
    <w:p w:rsidR="004C7339" w:rsidRDefault="004C7339">
      <w:pPr>
        <w:rPr>
          <w:b/>
        </w:rPr>
      </w:pPr>
    </w:p>
    <w:p w:rsidR="00D4365E" w:rsidRDefault="00D4365E">
      <w:pPr>
        <w:rPr>
          <w:rFonts w:ascii="Arial" w:hAnsi="Arial" w:cs="Arial"/>
          <w:b/>
          <w:sz w:val="22"/>
          <w:szCs w:val="22"/>
        </w:rPr>
      </w:pPr>
    </w:p>
    <w:p w:rsidR="00A222D4" w:rsidRDefault="00A222D4">
      <w:pPr>
        <w:rPr>
          <w:rFonts w:ascii="Arial" w:hAnsi="Arial" w:cs="Arial"/>
          <w:b/>
          <w:sz w:val="22"/>
          <w:szCs w:val="22"/>
        </w:rPr>
      </w:pPr>
    </w:p>
    <w:p w:rsidR="004C7339" w:rsidRDefault="000703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4.3 </w:t>
      </w:r>
      <w:r w:rsidR="00E67663">
        <w:rPr>
          <w:rFonts w:ascii="Arial" w:hAnsi="Arial" w:cs="Arial"/>
          <w:b/>
          <w:sz w:val="22"/>
          <w:szCs w:val="22"/>
        </w:rPr>
        <w:t>Vanilla</w:t>
      </w:r>
      <w:r w:rsidR="00040FB7" w:rsidRPr="00040FB7">
        <w:rPr>
          <w:rFonts w:ascii="Arial" w:hAnsi="Arial" w:cs="Arial"/>
          <w:b/>
          <w:sz w:val="22"/>
          <w:szCs w:val="22"/>
        </w:rPr>
        <w:t xml:space="preserve"> American </w:t>
      </w:r>
      <w:r w:rsidR="007644D6">
        <w:rPr>
          <w:rFonts w:ascii="Arial" w:hAnsi="Arial" w:cs="Arial"/>
          <w:b/>
          <w:sz w:val="22"/>
          <w:szCs w:val="22"/>
        </w:rPr>
        <w:t>Put O</w:t>
      </w:r>
      <w:r w:rsidR="00040FB7" w:rsidRPr="00040FB7">
        <w:rPr>
          <w:rFonts w:ascii="Arial" w:hAnsi="Arial" w:cs="Arial"/>
          <w:b/>
          <w:sz w:val="22"/>
          <w:szCs w:val="22"/>
        </w:rPr>
        <w:t>ption.</w:t>
      </w:r>
    </w:p>
    <w:p w:rsidR="0065793A" w:rsidRDefault="0065793A">
      <w:pPr>
        <w:rPr>
          <w:rFonts w:ascii="Arial" w:hAnsi="Arial" w:cs="Arial"/>
          <w:b/>
          <w:sz w:val="22"/>
          <w:szCs w:val="22"/>
        </w:rPr>
      </w:pPr>
    </w:p>
    <w:p w:rsidR="0065793A" w:rsidRDefault="0065793A">
      <w:r>
        <w:t>In this case, the Matlab code written for European case had to be</w:t>
      </w:r>
      <w:r w:rsidR="004E5CDB">
        <w:t xml:space="preserve"> partially</w:t>
      </w:r>
      <w:r>
        <w:t xml:space="preserve"> modified because: </w:t>
      </w:r>
    </w:p>
    <w:p w:rsidR="00A44BEF" w:rsidRDefault="00A44BEF"/>
    <w:p w:rsidR="0065793A" w:rsidRDefault="00A44BEF" w:rsidP="00A44BEF">
      <w:pPr>
        <w:numPr>
          <w:ilvl w:val="0"/>
          <w:numId w:val="4"/>
        </w:numPr>
      </w:pPr>
      <w:r>
        <w:t>D</w:t>
      </w:r>
      <w:r w:rsidR="0065793A">
        <w:t>iscretization utilizes Neumann boundary conditions instead of Dirichlet conditions</w:t>
      </w:r>
      <w:r w:rsidR="004E5CDB">
        <w:t>;</w:t>
      </w:r>
    </w:p>
    <w:p w:rsidR="00A44BEF" w:rsidRDefault="00A44BEF" w:rsidP="00A44BEF">
      <w:pPr>
        <w:ind w:left="360"/>
      </w:pPr>
    </w:p>
    <w:p w:rsidR="00A44BEF" w:rsidRDefault="00A44BEF" w:rsidP="00A44BEF">
      <w:pPr>
        <w:numPr>
          <w:ilvl w:val="0"/>
          <w:numId w:val="4"/>
        </w:numPr>
      </w:pPr>
      <w:r>
        <w:t>The current op</w:t>
      </w:r>
      <w:r w:rsidR="004E5CDB">
        <w:t>tion value is the maximum of it</w:t>
      </w:r>
      <w:r>
        <w:t xml:space="preserve">s discounted future value and immediate payoff. </w:t>
      </w:r>
    </w:p>
    <w:p w:rsidR="00A44BEF" w:rsidRDefault="00A44BEF" w:rsidP="00A44BEF"/>
    <w:p w:rsidR="00A44BEF" w:rsidRDefault="00A40CBF" w:rsidP="00A44BEF">
      <w:r>
        <w:t xml:space="preserve">Also, the convergence is unconditional only if theta = 1 (fully implicit finite difference), otherwise the smallness of </w:t>
      </w:r>
      <w:r w:rsidRPr="00C2083C">
        <w:rPr>
          <w:position w:val="-6"/>
        </w:rPr>
        <w:object w:dxaOrig="540" w:dyaOrig="320">
          <v:shape id="_x0000_i1042" type="#_x0000_t75" style="width:27pt;height:15.75pt" o:ole="">
            <v:imagedata r:id="rId33" o:title=""/>
          </v:shape>
          <o:OLEObject Type="Embed" ProgID="Equation.DSMT4" ShapeID="_x0000_i1042" DrawAspect="Content" ObjectID="_1341887480" r:id="rId43"/>
        </w:object>
      </w:r>
      <w:r>
        <w:t xml:space="preserve"> is required in addition to the smallness of h and k. </w:t>
      </w:r>
      <w:r w:rsidR="00A44BEF">
        <w:t>Given the same inputs as for 4.1,</w:t>
      </w:r>
      <w:r>
        <w:t xml:space="preserve"> theta = 1,</w:t>
      </w:r>
      <w:r w:rsidR="00A44BEF">
        <w:t xml:space="preserve"> the convergence for the American put is </w:t>
      </w:r>
      <w:r w:rsidR="007644D6">
        <w:t>illustrated on Figure 4.</w:t>
      </w:r>
    </w:p>
    <w:p w:rsidR="00A44BEF" w:rsidRDefault="00A44BEF" w:rsidP="00A44BEF"/>
    <w:p w:rsidR="00A44BEF" w:rsidRPr="00A40CBF" w:rsidRDefault="00570E3D" w:rsidP="00A44BEF">
      <w:r>
        <w:rPr>
          <w:noProof/>
        </w:rPr>
        <w:lastRenderedPageBreak/>
        <w:drawing>
          <wp:inline distT="0" distB="0" distL="0" distR="0">
            <wp:extent cx="7000875" cy="3886200"/>
            <wp:effectExtent l="19050" t="0" r="9525" b="0"/>
            <wp:docPr id="25" name="Picture 25" descr="am_put_theta_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m_put_theta_one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08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4D6" w:rsidRPr="00AD031F" w:rsidRDefault="00A44BEF" w:rsidP="007644D6">
      <w:pPr>
        <w:jc w:val="center"/>
        <w:rPr>
          <w:rFonts w:ascii="Arial" w:hAnsi="Arial" w:cs="Arial"/>
          <w:b/>
          <w:sz w:val="22"/>
          <w:szCs w:val="22"/>
        </w:rPr>
      </w:pPr>
      <w:r>
        <w:t xml:space="preserve">     </w:t>
      </w:r>
      <w:r w:rsidR="007644D6">
        <w:rPr>
          <w:rFonts w:ascii="Arial" w:hAnsi="Arial" w:cs="Arial"/>
          <w:b/>
          <w:sz w:val="22"/>
          <w:szCs w:val="22"/>
        </w:rPr>
        <w:t>Fugure 4</w:t>
      </w:r>
      <w:r w:rsidR="007644D6" w:rsidRPr="00AD031F">
        <w:rPr>
          <w:rFonts w:ascii="Arial" w:hAnsi="Arial" w:cs="Arial"/>
          <w:b/>
          <w:sz w:val="22"/>
          <w:szCs w:val="22"/>
        </w:rPr>
        <w:t>. Pric</w:t>
      </w:r>
      <w:r w:rsidR="007644D6">
        <w:rPr>
          <w:rFonts w:ascii="Arial" w:hAnsi="Arial" w:cs="Arial"/>
          <w:b/>
          <w:sz w:val="22"/>
          <w:szCs w:val="22"/>
        </w:rPr>
        <w:t>e of Vanilla American Put, theta = 1</w:t>
      </w:r>
    </w:p>
    <w:p w:rsidR="00423131" w:rsidRDefault="00423131"/>
    <w:p w:rsidR="004C7339" w:rsidRDefault="009D29CE">
      <w:r>
        <w:t xml:space="preserve">As opposed to the European case, here the number of time nodes makes more difference than the number of space nodes. The true option price seems to be in $[6.45; 6.50]. </w:t>
      </w:r>
      <w:r w:rsidR="007644D6">
        <w:t>F</w:t>
      </w:r>
      <w:r>
        <w:t>or theta = 0.5</w:t>
      </w:r>
      <w:r w:rsidR="007644D6">
        <w:t>,</w:t>
      </w:r>
      <w:r>
        <w:t xml:space="preserve"> we also observe convergence and the estimated price is consistent with that for theta = 1</w:t>
      </w:r>
      <w:r w:rsidR="007644D6">
        <w:t>, as shown on Figure 5.</w:t>
      </w:r>
    </w:p>
    <w:p w:rsidR="009D29CE" w:rsidRPr="009D29CE" w:rsidRDefault="00570E3D">
      <w:r>
        <w:rPr>
          <w:noProof/>
        </w:rPr>
        <w:drawing>
          <wp:inline distT="0" distB="0" distL="0" distR="0">
            <wp:extent cx="5275385" cy="3791682"/>
            <wp:effectExtent l="19050" t="0" r="1465" b="0"/>
            <wp:docPr id="26" name="Picture 26" descr="am_put_theta_one_hal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am_put_theta_one_half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4613" cy="379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4D6" w:rsidRPr="00AD031F" w:rsidRDefault="007644D6" w:rsidP="007644D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Fugure 5</w:t>
      </w:r>
      <w:r w:rsidRPr="00AD031F">
        <w:rPr>
          <w:rFonts w:ascii="Arial" w:hAnsi="Arial" w:cs="Arial"/>
          <w:b/>
          <w:sz w:val="22"/>
          <w:szCs w:val="22"/>
        </w:rPr>
        <w:t>. Pric</w:t>
      </w:r>
      <w:r>
        <w:rPr>
          <w:rFonts w:ascii="Arial" w:hAnsi="Arial" w:cs="Arial"/>
          <w:b/>
          <w:sz w:val="22"/>
          <w:szCs w:val="22"/>
        </w:rPr>
        <w:t>e of Vanilla American Put, theta = 0.5</w:t>
      </w:r>
    </w:p>
    <w:p w:rsidR="007644D6" w:rsidRPr="0065793A" w:rsidRDefault="007644D6" w:rsidP="007644D6"/>
    <w:p w:rsidR="004C7339" w:rsidRDefault="004C7339">
      <w:pPr>
        <w:rPr>
          <w:b/>
        </w:rPr>
      </w:pPr>
    </w:p>
    <w:p w:rsidR="00E67663" w:rsidRDefault="00E67663" w:rsidP="00B55313">
      <w:pPr>
        <w:rPr>
          <w:rFonts w:ascii="Arial" w:hAnsi="Arial" w:cs="Arial"/>
          <w:b/>
          <w:sz w:val="22"/>
          <w:szCs w:val="22"/>
        </w:rPr>
      </w:pPr>
    </w:p>
    <w:p w:rsidR="004E5CDB" w:rsidRDefault="004E5CDB" w:rsidP="00B55313">
      <w:pPr>
        <w:rPr>
          <w:rFonts w:ascii="Arial" w:hAnsi="Arial" w:cs="Arial"/>
          <w:b/>
          <w:sz w:val="22"/>
          <w:szCs w:val="22"/>
        </w:rPr>
      </w:pPr>
    </w:p>
    <w:p w:rsidR="00B55313" w:rsidRDefault="00B55313" w:rsidP="00B5531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4.4 Exotic American “sine”</w:t>
      </w:r>
      <w:r w:rsidR="001C1387">
        <w:rPr>
          <w:rFonts w:ascii="Arial" w:hAnsi="Arial" w:cs="Arial"/>
          <w:b/>
          <w:sz w:val="22"/>
          <w:szCs w:val="22"/>
        </w:rPr>
        <w:t xml:space="preserve"> O</w:t>
      </w:r>
      <w:r w:rsidRPr="00040FB7">
        <w:rPr>
          <w:rFonts w:ascii="Arial" w:hAnsi="Arial" w:cs="Arial"/>
          <w:b/>
          <w:sz w:val="22"/>
          <w:szCs w:val="22"/>
        </w:rPr>
        <w:t>ption.</w:t>
      </w:r>
    </w:p>
    <w:p w:rsidR="00B55313" w:rsidRDefault="00B55313" w:rsidP="00B55313"/>
    <w:p w:rsidR="00B55313" w:rsidRDefault="00B55313" w:rsidP="00B55313">
      <w:pPr>
        <w:rPr>
          <w:rFonts w:ascii="Arial" w:hAnsi="Arial" w:cs="Arial"/>
          <w:b/>
          <w:sz w:val="22"/>
          <w:szCs w:val="22"/>
        </w:rPr>
      </w:pPr>
      <w:r>
        <w:t xml:space="preserve">Suppose that the price process parameters are as before, but we want to price an American option that pays: </w:t>
      </w:r>
    </w:p>
    <w:p w:rsidR="00B55313" w:rsidRDefault="00B55313" w:rsidP="00B55313">
      <w:pPr>
        <w:rPr>
          <w:rFonts w:ascii="Arial" w:hAnsi="Arial" w:cs="Arial"/>
          <w:b/>
          <w:sz w:val="22"/>
          <w:szCs w:val="22"/>
        </w:rPr>
      </w:pPr>
    </w:p>
    <w:p w:rsidR="00B55313" w:rsidRDefault="00B55313" w:rsidP="00B55313">
      <w:pPr>
        <w:jc w:val="center"/>
        <w:rPr>
          <w:rFonts w:ascii="Arial" w:hAnsi="Arial" w:cs="Arial"/>
          <w:b/>
          <w:sz w:val="22"/>
          <w:szCs w:val="22"/>
        </w:rPr>
      </w:pPr>
      <w:r w:rsidRPr="00B55313">
        <w:rPr>
          <w:b/>
          <w:position w:val="-12"/>
        </w:rPr>
        <w:object w:dxaOrig="2360" w:dyaOrig="360">
          <v:shape id="_x0000_i1043" type="#_x0000_t75" style="width:154.5pt;height:23.25pt" o:ole="">
            <v:imagedata r:id="rId46" o:title=""/>
          </v:shape>
          <o:OLEObject Type="Embed" ProgID="Equation.DSMT4" ShapeID="_x0000_i1043" DrawAspect="Content" ObjectID="_1341887481" r:id="rId47"/>
        </w:object>
      </w:r>
    </w:p>
    <w:p w:rsidR="00B55313" w:rsidRDefault="00B55313" w:rsidP="00B55313">
      <w:pPr>
        <w:rPr>
          <w:rFonts w:ascii="Arial" w:hAnsi="Arial" w:cs="Arial"/>
          <w:b/>
          <w:sz w:val="22"/>
          <w:szCs w:val="22"/>
        </w:rPr>
      </w:pPr>
    </w:p>
    <w:p w:rsidR="004C7339" w:rsidRDefault="00B55313">
      <w:r>
        <w:t xml:space="preserve">Because the underlying is roughly between </w:t>
      </w:r>
      <w:r w:rsidR="002D2C4D">
        <w:t>$0 and $365</w:t>
      </w:r>
      <w:r>
        <w:t xml:space="preserve">, I decided to divide </w:t>
      </w:r>
      <w:r w:rsidRPr="00B55313">
        <w:rPr>
          <w:position w:val="-12"/>
        </w:rPr>
        <w:object w:dxaOrig="260" w:dyaOrig="360">
          <v:shape id="_x0000_i1044" type="#_x0000_t75" style="width:12.75pt;height:18pt" o:ole="">
            <v:imagedata r:id="rId10" o:title=""/>
          </v:shape>
          <o:OLEObject Type="Embed" ProgID="Equation.DSMT4" ShapeID="_x0000_i1044" DrawAspect="Content" ObjectID="_1341887482" r:id="rId48"/>
        </w:object>
      </w:r>
      <w:r>
        <w:t xml:space="preserve"> by 100 to </w:t>
      </w:r>
      <w:r w:rsidR="005C7F0A">
        <w:t>match it</w:t>
      </w:r>
      <w:r w:rsidR="00E67663">
        <w:t xml:space="preserve"> to the interval [0; pi]</w:t>
      </w:r>
      <w:r w:rsidR="004709E8">
        <w:t xml:space="preserve"> where sin(.</w:t>
      </w:r>
      <w:r w:rsidR="00E67663">
        <w:t>) is positive.</w:t>
      </w:r>
      <w:r w:rsidR="00423131">
        <w:t xml:space="preserve"> </w:t>
      </w:r>
      <w:r>
        <w:t xml:space="preserve">The pricing results </w:t>
      </w:r>
      <w:r w:rsidR="002D2C4D">
        <w:t xml:space="preserve">with theta = 1 </w:t>
      </w:r>
      <w:r>
        <w:t xml:space="preserve">are as </w:t>
      </w:r>
      <w:r w:rsidR="00423131">
        <w:t>shown on Figure 6.</w:t>
      </w:r>
      <w:r>
        <w:t xml:space="preserve"> </w:t>
      </w:r>
    </w:p>
    <w:p w:rsidR="004E5CDB" w:rsidRPr="00B55313" w:rsidRDefault="004E5CDB">
      <w:pPr>
        <w:rPr>
          <w:b/>
        </w:rPr>
      </w:pPr>
    </w:p>
    <w:p w:rsidR="004C7339" w:rsidRPr="002D2C4D" w:rsidRDefault="00570E3D">
      <w:pPr>
        <w:rPr>
          <w:b/>
        </w:rPr>
      </w:pPr>
      <w:r>
        <w:rPr>
          <w:b/>
          <w:noProof/>
        </w:rPr>
        <w:drawing>
          <wp:inline distT="0" distB="0" distL="0" distR="0">
            <wp:extent cx="7067550" cy="5286375"/>
            <wp:effectExtent l="19050" t="0" r="0" b="0"/>
            <wp:docPr id="29" name="Picture 29" descr="amer_s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mer_sine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131" w:rsidRPr="00AD031F" w:rsidRDefault="00423131" w:rsidP="0042313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Fugure 6</w:t>
      </w:r>
      <w:r w:rsidRPr="00AD031F">
        <w:rPr>
          <w:rFonts w:ascii="Arial" w:hAnsi="Arial" w:cs="Arial"/>
          <w:b/>
          <w:sz w:val="22"/>
          <w:szCs w:val="22"/>
        </w:rPr>
        <w:t>. Pric</w:t>
      </w:r>
      <w:r>
        <w:rPr>
          <w:rFonts w:ascii="Arial" w:hAnsi="Arial" w:cs="Arial"/>
          <w:b/>
          <w:sz w:val="22"/>
          <w:szCs w:val="22"/>
        </w:rPr>
        <w:t>e of Exotic American Option, theta = 0.5</w:t>
      </w:r>
    </w:p>
    <w:p w:rsidR="004C7339" w:rsidRDefault="004C7339">
      <w:pPr>
        <w:rPr>
          <w:b/>
        </w:rPr>
      </w:pPr>
    </w:p>
    <w:p w:rsidR="00423131" w:rsidRDefault="00423131" w:rsidP="005C7F0A"/>
    <w:p w:rsidR="00B62C9D" w:rsidRDefault="00423131" w:rsidP="005C7F0A">
      <w:r>
        <w:t>T</w:t>
      </w:r>
      <w:r w:rsidR="004709E8">
        <w:t>he convergence is good</w:t>
      </w:r>
      <w:r w:rsidR="002D2C4D">
        <w:t xml:space="preserve"> and the price of this queer option is about $8.912.</w:t>
      </w:r>
      <w:r w:rsidR="00251D3A">
        <w:t xml:space="preserve"> </w:t>
      </w:r>
    </w:p>
    <w:p w:rsidR="005C7F0A" w:rsidRDefault="005C7F0A" w:rsidP="005C7F0A"/>
    <w:p w:rsidR="005C7F0A" w:rsidRDefault="005C7F0A" w:rsidP="005C7F0A"/>
    <w:p w:rsidR="00B62C9D" w:rsidRDefault="00B62C9D">
      <w:pPr>
        <w:rPr>
          <w:rFonts w:ascii="Arial" w:hAnsi="Arial" w:cs="Arial"/>
          <w:b/>
        </w:rPr>
      </w:pPr>
      <w:bookmarkStart w:id="1" w:name="ref"/>
      <w:bookmarkEnd w:id="1"/>
    </w:p>
    <w:p w:rsidR="00B62C9D" w:rsidRDefault="00B62C9D">
      <w:pPr>
        <w:rPr>
          <w:rFonts w:ascii="Arial" w:hAnsi="Arial" w:cs="Arial"/>
          <w:b/>
        </w:rPr>
      </w:pPr>
    </w:p>
    <w:p w:rsidR="00B62C9D" w:rsidRPr="00B62C9D" w:rsidRDefault="00B62C9D">
      <w:pPr>
        <w:rPr>
          <w:rFonts w:ascii="Arial" w:hAnsi="Arial" w:cs="Arial"/>
          <w:b/>
        </w:rPr>
      </w:pPr>
      <w:r w:rsidRPr="00B62C9D">
        <w:rPr>
          <w:rFonts w:ascii="Arial" w:hAnsi="Arial" w:cs="Arial"/>
          <w:b/>
        </w:rPr>
        <w:t>References</w:t>
      </w:r>
    </w:p>
    <w:p w:rsidR="00B62C9D" w:rsidRDefault="00B62C9D"/>
    <w:p w:rsidR="00B62C9D" w:rsidRPr="002D2C4D" w:rsidRDefault="00BB58F5" w:rsidP="00BB58F5">
      <w:pPr>
        <w:ind w:left="480"/>
      </w:pPr>
      <w:bookmarkStart w:id="2" w:name="_Ref158402878"/>
      <w:r>
        <w:t xml:space="preserve">[1]   </w:t>
      </w:r>
      <w:r w:rsidR="00B62C9D">
        <w:t xml:space="preserve">Lamberton, Lapeyre </w:t>
      </w:r>
      <w:hyperlink r:id="rId50" w:history="1">
        <w:r w:rsidR="00B62C9D" w:rsidRPr="00B62C9D">
          <w:rPr>
            <w:rStyle w:val="Hyperlink"/>
          </w:rPr>
          <w:t>"Introduction to Stochastic Calculus Applied to Finance"</w:t>
        </w:r>
      </w:hyperlink>
      <w:r w:rsidR="00B62C9D">
        <w:t>, 1996</w:t>
      </w:r>
      <w:bookmarkEnd w:id="2"/>
    </w:p>
    <w:sectPr w:rsidR="00B62C9D" w:rsidRPr="002D2C4D" w:rsidSect="002E4301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FD5" w:rsidRDefault="00956FD5">
      <w:r>
        <w:separator/>
      </w:r>
    </w:p>
  </w:endnote>
  <w:endnote w:type="continuationSeparator" w:id="1">
    <w:p w:rsidR="00956FD5" w:rsidRDefault="00956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FD5" w:rsidRDefault="00956FD5">
      <w:r>
        <w:separator/>
      </w:r>
    </w:p>
  </w:footnote>
  <w:footnote w:type="continuationSeparator" w:id="1">
    <w:p w:rsidR="00956FD5" w:rsidRDefault="00956F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0DD"/>
    <w:multiLevelType w:val="hybridMultilevel"/>
    <w:tmpl w:val="A2DA1D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EC643D"/>
    <w:multiLevelType w:val="hybridMultilevel"/>
    <w:tmpl w:val="CC2893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D5823"/>
    <w:multiLevelType w:val="hybridMultilevel"/>
    <w:tmpl w:val="FED03F74"/>
    <w:lvl w:ilvl="0" w:tplc="0409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D7B1F4F"/>
    <w:multiLevelType w:val="hybridMultilevel"/>
    <w:tmpl w:val="43F46C7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AD24B2"/>
    <w:multiLevelType w:val="hybridMultilevel"/>
    <w:tmpl w:val="284A0A00"/>
    <w:lvl w:ilvl="0" w:tplc="3C1A1CC6">
      <w:start w:val="2"/>
      <w:numFmt w:val="upp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53C"/>
    <w:rsid w:val="00013E63"/>
    <w:rsid w:val="00023292"/>
    <w:rsid w:val="00040FB7"/>
    <w:rsid w:val="00070351"/>
    <w:rsid w:val="00097AF5"/>
    <w:rsid w:val="000F79D0"/>
    <w:rsid w:val="001732A1"/>
    <w:rsid w:val="00177163"/>
    <w:rsid w:val="001C1387"/>
    <w:rsid w:val="001D553C"/>
    <w:rsid w:val="001E1565"/>
    <w:rsid w:val="0020142E"/>
    <w:rsid w:val="00202AD9"/>
    <w:rsid w:val="00250FB2"/>
    <w:rsid w:val="00251D3A"/>
    <w:rsid w:val="00290831"/>
    <w:rsid w:val="002D2C4D"/>
    <w:rsid w:val="002E4301"/>
    <w:rsid w:val="003036E2"/>
    <w:rsid w:val="0038453B"/>
    <w:rsid w:val="003A0511"/>
    <w:rsid w:val="003A7A78"/>
    <w:rsid w:val="003C2340"/>
    <w:rsid w:val="00406FF7"/>
    <w:rsid w:val="00423131"/>
    <w:rsid w:val="004409FF"/>
    <w:rsid w:val="004709E8"/>
    <w:rsid w:val="00495025"/>
    <w:rsid w:val="004B65CA"/>
    <w:rsid w:val="004C7339"/>
    <w:rsid w:val="004E5CDB"/>
    <w:rsid w:val="005357F8"/>
    <w:rsid w:val="00570750"/>
    <w:rsid w:val="00570E3D"/>
    <w:rsid w:val="005C7F0A"/>
    <w:rsid w:val="00601761"/>
    <w:rsid w:val="006449C3"/>
    <w:rsid w:val="00652049"/>
    <w:rsid w:val="0065793A"/>
    <w:rsid w:val="00666956"/>
    <w:rsid w:val="006A3852"/>
    <w:rsid w:val="00747C21"/>
    <w:rsid w:val="007644D6"/>
    <w:rsid w:val="007646DD"/>
    <w:rsid w:val="007860B4"/>
    <w:rsid w:val="007C48B7"/>
    <w:rsid w:val="007C5B19"/>
    <w:rsid w:val="007D086E"/>
    <w:rsid w:val="007D0D69"/>
    <w:rsid w:val="00801247"/>
    <w:rsid w:val="0083376A"/>
    <w:rsid w:val="008D3B53"/>
    <w:rsid w:val="00904509"/>
    <w:rsid w:val="00917FCB"/>
    <w:rsid w:val="009319B7"/>
    <w:rsid w:val="00956FD5"/>
    <w:rsid w:val="00964562"/>
    <w:rsid w:val="009B0910"/>
    <w:rsid w:val="009D29CE"/>
    <w:rsid w:val="00A04296"/>
    <w:rsid w:val="00A222D4"/>
    <w:rsid w:val="00A40CBF"/>
    <w:rsid w:val="00A44BEF"/>
    <w:rsid w:val="00A50AEB"/>
    <w:rsid w:val="00AB53B4"/>
    <w:rsid w:val="00AC69A8"/>
    <w:rsid w:val="00AD031F"/>
    <w:rsid w:val="00AF5735"/>
    <w:rsid w:val="00B00B82"/>
    <w:rsid w:val="00B55313"/>
    <w:rsid w:val="00B62C9D"/>
    <w:rsid w:val="00BA233A"/>
    <w:rsid w:val="00BB58F5"/>
    <w:rsid w:val="00BD7F04"/>
    <w:rsid w:val="00C03F57"/>
    <w:rsid w:val="00C2083C"/>
    <w:rsid w:val="00C72657"/>
    <w:rsid w:val="00C9289E"/>
    <w:rsid w:val="00C95164"/>
    <w:rsid w:val="00C95A32"/>
    <w:rsid w:val="00D02188"/>
    <w:rsid w:val="00D4365E"/>
    <w:rsid w:val="00E42650"/>
    <w:rsid w:val="00E67663"/>
    <w:rsid w:val="00E85C76"/>
    <w:rsid w:val="00E959FB"/>
    <w:rsid w:val="00E978CA"/>
    <w:rsid w:val="00EA7BA2"/>
    <w:rsid w:val="00F03EEC"/>
    <w:rsid w:val="00F13A62"/>
    <w:rsid w:val="00F23F40"/>
    <w:rsid w:val="00F249E2"/>
    <w:rsid w:val="00F57EF2"/>
    <w:rsid w:val="00F73C38"/>
    <w:rsid w:val="00F8485C"/>
    <w:rsid w:val="00FB7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707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F73C3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73C38"/>
    <w:rPr>
      <w:vertAlign w:val="superscript"/>
    </w:rPr>
  </w:style>
  <w:style w:type="character" w:styleId="Hyperlink">
    <w:name w:val="Hyperlink"/>
    <w:basedOn w:val="DefaultParagraphFont"/>
    <w:rsid w:val="00B62C9D"/>
    <w:rPr>
      <w:color w:val="0000FF"/>
      <w:u w:val="single"/>
    </w:rPr>
  </w:style>
  <w:style w:type="character" w:styleId="FollowedHyperlink">
    <w:name w:val="FollowedHyperlink"/>
    <w:basedOn w:val="DefaultParagraphFont"/>
    <w:rsid w:val="00B62C9D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E676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76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5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jpeg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hyperlink" Target="http://www.amazon.com/Introduction-Stochastic-Calculus-Applied-Modeling/dp/0412718006/sr=1-1/qid=1170657147/ref=sr_1_1/102-3862680-3008152?ie=UTF8&amp;s=books" TargetMode="External"/><Relationship Id="rId7" Type="http://schemas.openxmlformats.org/officeDocument/2006/relationships/hyperlink" Target="http://www.ntuzov.com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jpeg"/><Relationship Id="rId40" Type="http://schemas.openxmlformats.org/officeDocument/2006/relationships/image" Target="media/image17.jpeg"/><Relationship Id="rId45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jpe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image" Target="media/image19.jpeg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0.bin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Purdue University</vt:lpstr>
    </vt:vector>
  </TitlesOfParts>
  <Company>Purdue University</Company>
  <LinksUpToDate>false</LinksUpToDate>
  <CharactersWithSpaces>9074</CharactersWithSpaces>
  <SharedDoc>false</SharedDoc>
  <HLinks>
    <vt:vector size="18" baseType="variant">
      <vt:variant>
        <vt:i4>7667828</vt:i4>
      </vt:variant>
      <vt:variant>
        <vt:i4>72</vt:i4>
      </vt:variant>
      <vt:variant>
        <vt:i4>0</vt:i4>
      </vt:variant>
      <vt:variant>
        <vt:i4>5</vt:i4>
      </vt:variant>
      <vt:variant>
        <vt:lpwstr>http://www.amazon.com/Introduction-Stochastic-Calculus-Applied-Modeling/dp/0412718006/sr=1-1/qid=1170657147/ref=sr_1_1/102-3862680-3008152?ie=UTF8&amp;s=books</vt:lpwstr>
      </vt:variant>
      <vt:variant>
        <vt:lpwstr/>
      </vt:variant>
      <vt:variant>
        <vt:i4>6619250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ref</vt:lpwstr>
      </vt:variant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http://www.stat.purdue.edu/~ntuzov/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Purdue University</dc:title>
  <dc:creator>ntuzov</dc:creator>
  <cp:lastModifiedBy>Nik</cp:lastModifiedBy>
  <cp:revision>8</cp:revision>
  <cp:lastPrinted>2010-07-29T10:33:00Z</cp:lastPrinted>
  <dcterms:created xsi:type="dcterms:W3CDTF">2010-07-29T03:33:00Z</dcterms:created>
  <dcterms:modified xsi:type="dcterms:W3CDTF">2010-07-29T10:44:00Z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